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1950" w14:textId="77777777" w:rsidR="0036039A" w:rsidRPr="00BD0BB8" w:rsidRDefault="0036039A" w:rsidP="006A005A">
      <w:pPr>
        <w:widowControl w:val="0"/>
        <w:spacing w:after="240"/>
        <w:rPr>
          <w:rFonts w:cs="Arial"/>
          <w:b/>
        </w:rPr>
      </w:pPr>
    </w:p>
    <w:p w14:paraId="4F95EDB3" w14:textId="77777777" w:rsidR="00333A97" w:rsidRPr="00BD0BB8" w:rsidRDefault="00333A97" w:rsidP="006A005A">
      <w:pPr>
        <w:widowControl w:val="0"/>
        <w:spacing w:after="240"/>
        <w:rPr>
          <w:rFonts w:cs="Arial"/>
          <w:b/>
        </w:rPr>
      </w:pPr>
    </w:p>
    <w:p w14:paraId="360F3538" w14:textId="77777777" w:rsidR="00576746" w:rsidRPr="00BD0BB8" w:rsidRDefault="00576746" w:rsidP="006A005A">
      <w:pPr>
        <w:widowControl w:val="0"/>
        <w:rPr>
          <w:rFonts w:cs="Arial"/>
          <w:b/>
        </w:rPr>
      </w:pPr>
    </w:p>
    <w:p w14:paraId="00797FC9" w14:textId="77777777" w:rsidR="00462C16" w:rsidRPr="00BD0BB8" w:rsidRDefault="00BF3AAB" w:rsidP="006A005A">
      <w:pPr>
        <w:widowControl w:val="0"/>
        <w:rPr>
          <w:rFonts w:cs="Arial"/>
          <w:b/>
        </w:rPr>
      </w:pPr>
      <w:r w:rsidRPr="00BD0BB8">
        <w:rPr>
          <w:rFonts w:cs="Arial"/>
          <w:b/>
        </w:rPr>
        <w:t>M</w:t>
      </w:r>
      <w:bookmarkStart w:id="0" w:name="_Ref179360559"/>
      <w:bookmarkStart w:id="1" w:name="_Ref189023111"/>
      <w:bookmarkStart w:id="2" w:name="_Ref228271855"/>
      <w:bookmarkStart w:id="3" w:name="_Ref230154487"/>
      <w:bookmarkStart w:id="4" w:name="_Ref230154604"/>
      <w:bookmarkStart w:id="5" w:name="_Ref230158452"/>
      <w:bookmarkStart w:id="6" w:name="_Ref230259119"/>
      <w:bookmarkStart w:id="7" w:name="_Ref230708575"/>
      <w:bookmarkStart w:id="8" w:name="_Ref230779723"/>
      <w:bookmarkStart w:id="9" w:name="_Ref234139467"/>
      <w:bookmarkStart w:id="10" w:name="_Ref244604879"/>
      <w:bookmarkStart w:id="11" w:name="_Ref244613817"/>
      <w:bookmarkStart w:id="12" w:name="_Ref244623416"/>
      <w:bookmarkStart w:id="13" w:name="_Ref244623961"/>
      <w:bookmarkStart w:id="14" w:name="_Ref244624060"/>
      <w:bookmarkStart w:id="15" w:name="_Ref24536754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D0BB8">
        <w:rPr>
          <w:rFonts w:cs="Arial"/>
          <w:b/>
        </w:rPr>
        <w:t>EMORANDUM OF INCORPORATION</w:t>
      </w:r>
    </w:p>
    <w:p w14:paraId="5027FEB6" w14:textId="77777777" w:rsidR="00B71A92" w:rsidRPr="00BD0BB8" w:rsidRDefault="00B71A92" w:rsidP="006A005A">
      <w:pPr>
        <w:widowControl w:val="0"/>
        <w:rPr>
          <w:rFonts w:cs="Arial"/>
          <w:b/>
        </w:rPr>
      </w:pPr>
    </w:p>
    <w:p w14:paraId="29636AE8" w14:textId="77777777" w:rsidR="007163DF" w:rsidRPr="00BD0BB8" w:rsidRDefault="00BF3AAB" w:rsidP="006A005A">
      <w:pPr>
        <w:widowControl w:val="0"/>
        <w:rPr>
          <w:rFonts w:cs="Arial"/>
          <w:b/>
        </w:rPr>
      </w:pPr>
      <w:r w:rsidRPr="00BD0BB8">
        <w:rPr>
          <w:rFonts w:cs="Arial"/>
          <w:b/>
        </w:rPr>
        <w:t>of</w:t>
      </w:r>
    </w:p>
    <w:p w14:paraId="6608FC9A" w14:textId="5D4571AF" w:rsidR="00B71A92" w:rsidRPr="00BD0BB8" w:rsidRDefault="00B71A92" w:rsidP="006A005A">
      <w:pPr>
        <w:widowControl w:val="0"/>
        <w:rPr>
          <w:rFonts w:cs="Arial"/>
          <w:b/>
          <w:lang w:val="en-US"/>
        </w:rPr>
      </w:pPr>
    </w:p>
    <w:p w14:paraId="01CF943D" w14:textId="77777777" w:rsidR="00B71A92" w:rsidRPr="00BD0BB8" w:rsidRDefault="00B71A92" w:rsidP="006A005A">
      <w:pPr>
        <w:widowControl w:val="0"/>
        <w:rPr>
          <w:rFonts w:cs="Arial"/>
          <w:b/>
          <w:lang w:val="en-US"/>
        </w:rPr>
      </w:pPr>
    </w:p>
    <w:p w14:paraId="1376980B" w14:textId="6686B68F" w:rsidR="0031400C" w:rsidRPr="00BD0BB8" w:rsidRDefault="00703C01" w:rsidP="006A005A">
      <w:pPr>
        <w:widowControl w:val="0"/>
        <w:rPr>
          <w:rFonts w:cs="Arial"/>
          <w:b/>
          <w:lang w:val="en-US"/>
        </w:rPr>
      </w:pPr>
      <w:r w:rsidRPr="00AA165F">
        <w:t>[●]</w:t>
      </w:r>
      <w:r>
        <w:t xml:space="preserve"> </w:t>
      </w:r>
      <w:r w:rsidR="00640DF1" w:rsidRPr="00BD0BB8">
        <w:rPr>
          <w:rFonts w:cs="Arial"/>
          <w:b/>
          <w:lang w:val="en-US"/>
        </w:rPr>
        <w:t>PROPRIETARY LIMITED</w:t>
      </w:r>
    </w:p>
    <w:p w14:paraId="47B39419" w14:textId="59166CFB" w:rsidR="00146D90" w:rsidRPr="00BD0BB8" w:rsidRDefault="00BF3AAB" w:rsidP="006A005A">
      <w:pPr>
        <w:widowControl w:val="0"/>
        <w:rPr>
          <w:rFonts w:cs="Arial"/>
          <w:b/>
        </w:rPr>
      </w:pPr>
      <w:r w:rsidRPr="00BD0BB8">
        <w:rPr>
          <w:rFonts w:cs="Arial"/>
          <w:b/>
          <w:lang w:val="en-US"/>
        </w:rPr>
        <w:t>Registration number</w:t>
      </w:r>
      <w:r w:rsidRPr="00BD0BB8">
        <w:rPr>
          <w:rFonts w:cs="Arial"/>
          <w:b/>
        </w:rPr>
        <w:t xml:space="preserve"> </w:t>
      </w:r>
      <w:r w:rsidR="00703C01" w:rsidRPr="00AA165F">
        <w:t>[●]</w:t>
      </w:r>
    </w:p>
    <w:p w14:paraId="4F45531B" w14:textId="77777777" w:rsidR="00727250" w:rsidRPr="00BD0BB8" w:rsidRDefault="00727250" w:rsidP="006A005A">
      <w:pPr>
        <w:pStyle w:val="DACoverPage"/>
        <w:widowControl w:val="0"/>
        <w:jc w:val="both"/>
        <w:rPr>
          <w:lang w:val="en-GB"/>
        </w:rPr>
      </w:pPr>
      <w:r w:rsidRPr="00BD0BB8">
        <w:rPr>
          <w:lang w:val="en-GB"/>
        </w:rPr>
        <w:t>being a profit company which is classified as a private company</w:t>
      </w:r>
    </w:p>
    <w:p w14:paraId="31920C59" w14:textId="0463F5E1" w:rsidR="00727250" w:rsidRPr="00BD0BB8" w:rsidRDefault="00727250" w:rsidP="006A005A">
      <w:pPr>
        <w:pStyle w:val="DACoverPage"/>
        <w:widowControl w:val="0"/>
        <w:jc w:val="both"/>
      </w:pPr>
      <w:r w:rsidRPr="00BD0BB8">
        <w:t>(</w:t>
      </w:r>
      <w:r w:rsidR="006A005A">
        <w:t>"</w:t>
      </w:r>
      <w:r w:rsidRPr="00BD0BB8">
        <w:rPr>
          <w:rStyle w:val="DAPartyDefinitionChar"/>
          <w:b/>
        </w:rPr>
        <w:t>the Company</w:t>
      </w:r>
      <w:r w:rsidR="006A005A">
        <w:t>"</w:t>
      </w:r>
      <w:r w:rsidRPr="00BD0BB8">
        <w:t>)</w:t>
      </w:r>
    </w:p>
    <w:p w14:paraId="4AF08E7E" w14:textId="60ACE3FF" w:rsidR="007F0C59" w:rsidRPr="00BD0BB8" w:rsidRDefault="00BF3AAB" w:rsidP="006A005A">
      <w:pPr>
        <w:widowControl w:val="0"/>
        <w:spacing w:after="240"/>
        <w:rPr>
          <w:rFonts w:cs="Arial"/>
        </w:rPr>
      </w:pPr>
      <w:r w:rsidRPr="00BD0BB8">
        <w:rPr>
          <w:rFonts w:cs="Arial"/>
        </w:rPr>
        <w:t>This MOI was adopted by</w:t>
      </w:r>
      <w:r w:rsidR="007163DF" w:rsidRPr="00BD0BB8">
        <w:rPr>
          <w:rFonts w:cs="Arial"/>
        </w:rPr>
        <w:t xml:space="preserve"> way</w:t>
      </w:r>
      <w:r w:rsidRPr="00BD0BB8">
        <w:rPr>
          <w:rFonts w:cs="Arial"/>
        </w:rPr>
        <w:t xml:space="preserve"> </w:t>
      </w:r>
      <w:r w:rsidR="007163DF" w:rsidRPr="00BD0BB8">
        <w:rPr>
          <w:rFonts w:cs="Arial"/>
        </w:rPr>
        <w:t xml:space="preserve">of </w:t>
      </w:r>
      <w:r w:rsidRPr="00BD0BB8">
        <w:rPr>
          <w:rFonts w:cs="Arial"/>
        </w:rPr>
        <w:t>Special Resolution on</w:t>
      </w:r>
      <w:r w:rsidR="003A0038" w:rsidRPr="00BD0BB8">
        <w:rPr>
          <w:rFonts w:cs="Arial"/>
        </w:rPr>
        <w:t xml:space="preserve"> </w:t>
      </w:r>
      <w:r w:rsidR="00703C01" w:rsidRPr="00AA165F">
        <w:t>[●]</w:t>
      </w:r>
      <w:r w:rsidR="007163DF" w:rsidRPr="00BD0BB8">
        <w:rPr>
          <w:rFonts w:cs="Arial"/>
        </w:rPr>
        <w:t>,</w:t>
      </w:r>
      <w:r w:rsidRPr="00BD0BB8">
        <w:rPr>
          <w:rFonts w:cs="Arial"/>
        </w:rPr>
        <w:t xml:space="preserve"> in substitution for the existing memorandum </w:t>
      </w:r>
      <w:r w:rsidR="007163DF" w:rsidRPr="00BD0BB8">
        <w:rPr>
          <w:rFonts w:cs="Arial"/>
        </w:rPr>
        <w:t>of incorporation</w:t>
      </w:r>
      <w:r w:rsidRPr="00BD0BB8">
        <w:rPr>
          <w:rFonts w:cs="Arial"/>
        </w:rPr>
        <w:t xml:space="preserve"> of the Company</w:t>
      </w:r>
      <w:r w:rsidR="007163DF" w:rsidRPr="00BD0BB8">
        <w:rPr>
          <w:rFonts w:cs="Arial"/>
        </w:rPr>
        <w:t xml:space="preserve">, as contemplated in section 16(5)(a) of the </w:t>
      </w:r>
      <w:r w:rsidR="0050570C" w:rsidRPr="00BD0BB8">
        <w:rPr>
          <w:rFonts w:cs="Arial"/>
        </w:rPr>
        <w:t>Act</w:t>
      </w:r>
      <w:r w:rsidRPr="00BD0BB8">
        <w:rPr>
          <w:rFonts w:cs="Arial"/>
        </w:rPr>
        <w:t>.</w:t>
      </w:r>
      <w:r w:rsidR="00197DA9" w:rsidRPr="00BD0BB8">
        <w:rPr>
          <w:rFonts w:cs="Arial"/>
        </w:rPr>
        <w:t xml:space="preserve"> </w:t>
      </w:r>
    </w:p>
    <w:p w14:paraId="6F5D56BB" w14:textId="77777777" w:rsidR="0012104F" w:rsidRPr="00BD0BB8" w:rsidRDefault="0012104F" w:rsidP="006A005A">
      <w:pPr>
        <w:widowControl w:val="0"/>
        <w:spacing w:after="240"/>
        <w:rPr>
          <w:rFonts w:cs="Arial"/>
        </w:rPr>
      </w:pPr>
    </w:p>
    <w:p w14:paraId="6EAB03A4" w14:textId="77777777" w:rsidR="0012104F" w:rsidRPr="00BD0BB8" w:rsidRDefault="00197DA9" w:rsidP="006A005A">
      <w:pPr>
        <w:widowControl w:val="0"/>
        <w:spacing w:after="240"/>
        <w:rPr>
          <w:rFonts w:cs="Arial"/>
          <w:b/>
          <w:bCs/>
          <w:u w:val="single"/>
        </w:rPr>
      </w:pPr>
      <w:r w:rsidRPr="00BD0BB8">
        <w:rPr>
          <w:rFonts w:cs="Arial"/>
        </w:rPr>
        <w:br w:type="page"/>
      </w:r>
      <w:r w:rsidR="0012104F" w:rsidRPr="00BD0BB8">
        <w:rPr>
          <w:rFonts w:cs="Arial"/>
          <w:b/>
          <w:bCs/>
          <w:u w:val="single"/>
        </w:rPr>
        <w:lastRenderedPageBreak/>
        <w:t xml:space="preserve">Preliminary Notes </w:t>
      </w:r>
    </w:p>
    <w:p w14:paraId="10C3B031" w14:textId="42DC957C" w:rsidR="003B5ECC" w:rsidRDefault="0012104F" w:rsidP="006A005A">
      <w:pPr>
        <w:widowControl w:val="0"/>
        <w:spacing w:after="240"/>
        <w:rPr>
          <w:rFonts w:cs="Arial"/>
        </w:rPr>
      </w:pPr>
      <w:r w:rsidRPr="00BD0BB8">
        <w:rPr>
          <w:rFonts w:cs="Arial"/>
        </w:rPr>
        <w:t xml:space="preserve">The MOI is the fundamental constitutional document for South African companies. It addresses all the </w:t>
      </w:r>
      <w:r w:rsidR="006A005A">
        <w:rPr>
          <w:rFonts w:cs="Arial"/>
        </w:rPr>
        <w:t>"</w:t>
      </w:r>
      <w:r w:rsidRPr="00BD0BB8">
        <w:rPr>
          <w:rFonts w:cs="Arial"/>
        </w:rPr>
        <w:t>control</w:t>
      </w:r>
      <w:r w:rsidR="006A005A">
        <w:rPr>
          <w:rFonts w:cs="Arial"/>
        </w:rPr>
        <w:t>"</w:t>
      </w:r>
      <w:r w:rsidRPr="00BD0BB8">
        <w:rPr>
          <w:rFonts w:cs="Arial"/>
        </w:rPr>
        <w:t xml:space="preserve"> functions of the company, and creates each class of share</w:t>
      </w:r>
      <w:r w:rsidR="006E0067">
        <w:rPr>
          <w:rFonts w:cs="Arial"/>
        </w:rPr>
        <w:t xml:space="preserve"> authorised by the Company</w:t>
      </w:r>
      <w:r w:rsidRPr="00BD0BB8">
        <w:rPr>
          <w:rFonts w:cs="Arial"/>
        </w:rPr>
        <w:t xml:space="preserve">.  For our purposes, it sets out the rights and preferences of the </w:t>
      </w:r>
      <w:r w:rsidR="00C03060">
        <w:rPr>
          <w:rFonts w:cs="Arial"/>
        </w:rPr>
        <w:t>Preference</w:t>
      </w:r>
      <w:r w:rsidRPr="00BD0BB8">
        <w:rPr>
          <w:rFonts w:cs="Arial"/>
        </w:rPr>
        <w:t xml:space="preserve"> Shares</w:t>
      </w:r>
      <w:r w:rsidR="00C03060">
        <w:rPr>
          <w:rFonts w:cs="Arial"/>
        </w:rPr>
        <w:t xml:space="preserve"> </w:t>
      </w:r>
      <w:r w:rsidRPr="00BD0BB8">
        <w:rPr>
          <w:rFonts w:cs="Arial"/>
        </w:rPr>
        <w:t xml:space="preserve"> (See Annexure A)</w:t>
      </w:r>
      <w:r w:rsidR="006E0067">
        <w:rPr>
          <w:rFonts w:cs="Arial"/>
        </w:rPr>
        <w:t xml:space="preserve"> in addition to </w:t>
      </w:r>
      <w:r w:rsidR="005B4DDB">
        <w:rPr>
          <w:rFonts w:cs="Arial"/>
        </w:rPr>
        <w:t xml:space="preserve">the </w:t>
      </w:r>
      <w:r w:rsidR="006E0067">
        <w:rPr>
          <w:rFonts w:cs="Arial"/>
        </w:rPr>
        <w:t xml:space="preserve">conventional </w:t>
      </w:r>
      <w:r w:rsidR="005B4DDB">
        <w:rPr>
          <w:rFonts w:cs="Arial"/>
        </w:rPr>
        <w:t>Ordinary Shares</w:t>
      </w:r>
      <w:r w:rsidRPr="00BD0BB8">
        <w:rPr>
          <w:rFonts w:cs="Arial"/>
        </w:rPr>
        <w:t xml:space="preserve">. </w:t>
      </w:r>
    </w:p>
    <w:p w14:paraId="043E0E78" w14:textId="705DC180" w:rsidR="0012104F" w:rsidRDefault="003B5ECC" w:rsidP="006A005A">
      <w:pPr>
        <w:widowControl w:val="0"/>
        <w:spacing w:after="240"/>
        <w:rPr>
          <w:rFonts w:cs="Arial"/>
        </w:rPr>
      </w:pPr>
      <w:r>
        <w:rPr>
          <w:rFonts w:cs="Arial"/>
        </w:rPr>
        <w:t xml:space="preserve">The MOI has been drafted to flexibly incorporate numerous </w:t>
      </w:r>
      <w:r w:rsidRPr="003B5ECC">
        <w:rPr>
          <w:rFonts w:cs="Arial"/>
        </w:rPr>
        <w:t>class</w:t>
      </w:r>
      <w:r>
        <w:rPr>
          <w:rFonts w:cs="Arial"/>
        </w:rPr>
        <w:t>es</w:t>
      </w:r>
      <w:r w:rsidRPr="003B5ECC">
        <w:rPr>
          <w:rFonts w:cs="Arial"/>
        </w:rPr>
        <w:t xml:space="preserve"> of </w:t>
      </w:r>
      <w:r w:rsidR="005B4DDB" w:rsidRPr="003B5ECC">
        <w:rPr>
          <w:rFonts w:cs="Arial"/>
        </w:rPr>
        <w:t>Preference Shares</w:t>
      </w:r>
      <w:r>
        <w:rPr>
          <w:rFonts w:cs="Arial"/>
        </w:rPr>
        <w:t xml:space="preserve">. </w:t>
      </w:r>
      <w:r w:rsidR="00015B12">
        <w:rPr>
          <w:rFonts w:cs="Arial"/>
        </w:rPr>
        <w:t>Where</w:t>
      </w:r>
      <w:r>
        <w:rPr>
          <w:rFonts w:cs="Arial"/>
        </w:rPr>
        <w:t xml:space="preserve"> more than one class of Preference Shares exist, each class’s </w:t>
      </w:r>
      <w:r w:rsidR="00015B12">
        <w:rPr>
          <w:rFonts w:cs="Arial"/>
        </w:rPr>
        <w:t xml:space="preserve">relative </w:t>
      </w:r>
      <w:r>
        <w:rPr>
          <w:rFonts w:cs="Arial"/>
        </w:rPr>
        <w:t>rights, p</w:t>
      </w:r>
      <w:r w:rsidR="00015B12">
        <w:rPr>
          <w:rFonts w:cs="Arial"/>
        </w:rPr>
        <w:t>r</w:t>
      </w:r>
      <w:r>
        <w:rPr>
          <w:rFonts w:cs="Arial"/>
        </w:rPr>
        <w:t>eferences and limitation</w:t>
      </w:r>
      <w:r w:rsidR="00015B12">
        <w:rPr>
          <w:rFonts w:cs="Arial"/>
        </w:rPr>
        <w:t xml:space="preserve">s will be described in the Annexure/s.  </w:t>
      </w:r>
      <w:r w:rsidR="005B4DDB">
        <w:rPr>
          <w:rFonts w:cs="Arial"/>
        </w:rPr>
        <w:t>Note, i</w:t>
      </w:r>
      <w:r w:rsidR="00015B12">
        <w:rPr>
          <w:rFonts w:cs="Arial"/>
        </w:rPr>
        <w:t xml:space="preserve">t may be easier for a reader to see the relative seniority of each class of Preference Shares in one annexure, but separate annexures </w:t>
      </w:r>
      <w:r w:rsidR="005B4DDB">
        <w:rPr>
          <w:rFonts w:cs="Arial"/>
        </w:rPr>
        <w:t xml:space="preserve">for each class of Preference Share </w:t>
      </w:r>
      <w:r w:rsidR="00015B12">
        <w:rPr>
          <w:rFonts w:cs="Arial"/>
        </w:rPr>
        <w:t xml:space="preserve">can be used where appropriate. </w:t>
      </w:r>
    </w:p>
    <w:p w14:paraId="14CD9684" w14:textId="6BAE5FB7" w:rsidR="00BD22B2" w:rsidRPr="00BD22B2" w:rsidRDefault="00BD22B2" w:rsidP="006A005A">
      <w:pPr>
        <w:widowControl w:val="0"/>
        <w:spacing w:after="240"/>
        <w:rPr>
          <w:rFonts w:cs="Arial"/>
          <w:i/>
          <w:iCs/>
          <w:u w:val="single"/>
          <w:lang w:val="en-US"/>
        </w:rPr>
      </w:pPr>
      <w:r w:rsidRPr="00BD22B2">
        <w:rPr>
          <w:rFonts w:cs="Arial"/>
          <w:i/>
          <w:iCs/>
          <w:u w:val="single"/>
          <w:lang w:val="en-US"/>
        </w:rPr>
        <w:t>Venture Capital specific footnotes</w:t>
      </w:r>
    </w:p>
    <w:p w14:paraId="1EB0E35D" w14:textId="3D17C02B" w:rsidR="00BD22B2" w:rsidRPr="00BD22B2" w:rsidRDefault="00BD22B2" w:rsidP="006A005A">
      <w:pPr>
        <w:widowControl w:val="0"/>
        <w:spacing w:after="240"/>
        <w:rPr>
          <w:rFonts w:cs="Arial"/>
          <w:i/>
          <w:iCs/>
        </w:rPr>
      </w:pPr>
      <w:r w:rsidRPr="00BD22B2">
        <w:rPr>
          <w:rFonts w:cs="Arial"/>
          <w:i/>
          <w:iCs/>
        </w:rPr>
        <w:t xml:space="preserve">Footnotes have been included which discuss the Venture Capital-specific clauses of this MOI. These include alternatives, reasons for various provisions, explanation of mechanics. </w:t>
      </w:r>
    </w:p>
    <w:p w14:paraId="5E93ADE6" w14:textId="436DDA82" w:rsidR="00672DC3" w:rsidRPr="00BD22B2" w:rsidRDefault="00672DC3" w:rsidP="006A005A">
      <w:pPr>
        <w:widowControl w:val="0"/>
        <w:spacing w:after="240"/>
        <w:rPr>
          <w:rFonts w:cs="Arial"/>
          <w:color w:val="A6A6A6" w:themeColor="background1" w:themeShade="A6"/>
          <w:u w:val="single"/>
        </w:rPr>
      </w:pPr>
      <w:r w:rsidRPr="00BD22B2">
        <w:rPr>
          <w:rFonts w:cs="Arial"/>
          <w:color w:val="A6A6A6" w:themeColor="background1" w:themeShade="A6"/>
          <w:u w:val="single"/>
        </w:rPr>
        <w:t xml:space="preserve">Alterable and </w:t>
      </w:r>
      <w:r w:rsidR="008D6950">
        <w:rPr>
          <w:rFonts w:cs="Arial"/>
          <w:color w:val="A6A6A6" w:themeColor="background1" w:themeShade="A6"/>
          <w:u w:val="single"/>
        </w:rPr>
        <w:t>unalterable</w:t>
      </w:r>
      <w:r w:rsidRPr="00BD22B2">
        <w:rPr>
          <w:rFonts w:cs="Arial"/>
          <w:color w:val="A6A6A6" w:themeColor="background1" w:themeShade="A6"/>
          <w:u w:val="single"/>
        </w:rPr>
        <w:t xml:space="preserve"> provisions of this MOI </w:t>
      </w:r>
    </w:p>
    <w:p w14:paraId="6033ED01" w14:textId="657F33B8" w:rsidR="00672DC3" w:rsidRPr="00672DC3" w:rsidRDefault="00672DC3" w:rsidP="006A005A">
      <w:pPr>
        <w:widowControl w:val="0"/>
        <w:spacing w:after="240"/>
        <w:rPr>
          <w:rFonts w:cs="Arial"/>
          <w:i/>
          <w:iCs/>
          <w:lang w:val="en-US"/>
        </w:rPr>
      </w:pPr>
      <w:r w:rsidRPr="00BD22B2">
        <w:rPr>
          <w:rFonts w:cs="Arial"/>
          <w:i/>
          <w:iCs/>
          <w:color w:val="A6A6A6" w:themeColor="background1" w:themeShade="A6"/>
          <w:lang w:val="en-US"/>
        </w:rPr>
        <w:t xml:space="preserve">We have </w:t>
      </w:r>
      <w:r w:rsidR="00BD22B2">
        <w:rPr>
          <w:rFonts w:cs="Arial"/>
          <w:i/>
          <w:iCs/>
          <w:color w:val="A6A6A6" w:themeColor="background1" w:themeShade="A6"/>
          <w:lang w:val="en-US"/>
        </w:rPr>
        <w:t xml:space="preserve">also </w:t>
      </w:r>
      <w:r w:rsidRPr="00BD22B2">
        <w:rPr>
          <w:rFonts w:cs="Arial"/>
          <w:i/>
          <w:iCs/>
          <w:color w:val="A6A6A6" w:themeColor="background1" w:themeShade="A6"/>
          <w:lang w:val="en-US"/>
        </w:rPr>
        <w:t>found it helpful for the MOI to note provisions which the Company’s Act allows to be altered</w:t>
      </w:r>
      <w:r w:rsidR="00BD22B2">
        <w:rPr>
          <w:rFonts w:cs="Arial"/>
          <w:i/>
          <w:iCs/>
          <w:color w:val="A6A6A6" w:themeColor="background1" w:themeShade="A6"/>
          <w:lang w:val="en-US"/>
        </w:rPr>
        <w:t xml:space="preserve"> under various circumstances</w:t>
      </w:r>
      <w:r w:rsidRPr="00BD22B2">
        <w:rPr>
          <w:rFonts w:cs="Arial"/>
          <w:i/>
          <w:iCs/>
          <w:color w:val="A6A6A6" w:themeColor="background1" w:themeShade="A6"/>
          <w:lang w:val="en-US"/>
        </w:rPr>
        <w:t xml:space="preserve">. </w:t>
      </w:r>
      <w:r w:rsidR="00BD22B2">
        <w:rPr>
          <w:rFonts w:cs="Arial"/>
          <w:i/>
          <w:iCs/>
          <w:color w:val="A6A6A6" w:themeColor="background1" w:themeShade="A6"/>
          <w:lang w:val="en-US"/>
        </w:rPr>
        <w:t xml:space="preserve">The </w:t>
      </w:r>
      <w:r w:rsidR="006A005A">
        <w:rPr>
          <w:rFonts w:cs="Arial"/>
          <w:i/>
          <w:iCs/>
          <w:color w:val="A6A6A6" w:themeColor="background1" w:themeShade="A6"/>
          <w:lang w:val="en-US"/>
        </w:rPr>
        <w:t>"</w:t>
      </w:r>
      <w:r w:rsidR="00BD22B2">
        <w:rPr>
          <w:rFonts w:cs="Arial"/>
          <w:i/>
          <w:iCs/>
          <w:color w:val="A6A6A6" w:themeColor="background1" w:themeShade="A6"/>
          <w:lang w:val="en-US"/>
        </w:rPr>
        <w:t>alterable</w:t>
      </w:r>
      <w:r w:rsidR="006A005A">
        <w:rPr>
          <w:rFonts w:cs="Arial"/>
          <w:i/>
          <w:iCs/>
          <w:color w:val="A6A6A6" w:themeColor="background1" w:themeShade="A6"/>
          <w:lang w:val="en-US"/>
        </w:rPr>
        <w:t>"</w:t>
      </w:r>
      <w:r w:rsidR="00BD22B2">
        <w:rPr>
          <w:rFonts w:cs="Arial"/>
          <w:i/>
          <w:iCs/>
          <w:color w:val="A6A6A6" w:themeColor="background1" w:themeShade="A6"/>
          <w:lang w:val="en-US"/>
        </w:rPr>
        <w:t xml:space="preserve"> vs </w:t>
      </w:r>
      <w:r w:rsidR="006A005A">
        <w:rPr>
          <w:rFonts w:cs="Arial"/>
          <w:i/>
          <w:iCs/>
          <w:color w:val="A6A6A6" w:themeColor="background1" w:themeShade="A6"/>
          <w:lang w:val="en-US"/>
        </w:rPr>
        <w:t>"</w:t>
      </w:r>
      <w:r w:rsidR="008D6950">
        <w:rPr>
          <w:rFonts w:cs="Arial"/>
          <w:i/>
          <w:iCs/>
          <w:color w:val="A6A6A6" w:themeColor="background1" w:themeShade="A6"/>
          <w:lang w:val="en-US"/>
        </w:rPr>
        <w:t>unalterable</w:t>
      </w:r>
      <w:r w:rsidR="006A005A">
        <w:rPr>
          <w:rFonts w:cs="Arial"/>
          <w:i/>
          <w:iCs/>
          <w:color w:val="A6A6A6" w:themeColor="background1" w:themeShade="A6"/>
          <w:lang w:val="en-US"/>
        </w:rPr>
        <w:t>"</w:t>
      </w:r>
      <w:r w:rsidR="00BD22B2">
        <w:rPr>
          <w:rFonts w:cs="Arial"/>
          <w:i/>
          <w:iCs/>
          <w:color w:val="A6A6A6" w:themeColor="background1" w:themeShade="A6"/>
          <w:lang w:val="en-US"/>
        </w:rPr>
        <w:t xml:space="preserve"> provisions referenced by the footnotes </w:t>
      </w:r>
      <w:r w:rsidRPr="00BD22B2">
        <w:rPr>
          <w:rFonts w:cs="Arial"/>
          <w:i/>
          <w:iCs/>
          <w:color w:val="A6A6A6" w:themeColor="background1" w:themeShade="A6"/>
          <w:lang w:val="en-US"/>
        </w:rPr>
        <w:t>is much more general Companies Law, and not Venture Capital specific</w:t>
      </w:r>
      <w:r w:rsidR="00BD22B2">
        <w:rPr>
          <w:rFonts w:cs="Arial"/>
          <w:i/>
          <w:iCs/>
          <w:color w:val="A6A6A6" w:themeColor="background1" w:themeShade="A6"/>
          <w:lang w:val="en-US"/>
        </w:rPr>
        <w:t xml:space="preserve">. However, </w:t>
      </w:r>
      <w:r w:rsidRPr="00BD22B2">
        <w:rPr>
          <w:rFonts w:cs="Arial"/>
          <w:i/>
          <w:iCs/>
          <w:color w:val="A6A6A6" w:themeColor="background1" w:themeShade="A6"/>
          <w:lang w:val="en-US"/>
        </w:rPr>
        <w:t xml:space="preserve">the drafters </w:t>
      </w:r>
      <w:r w:rsidR="00BD22B2">
        <w:rPr>
          <w:rFonts w:cs="Arial"/>
          <w:i/>
          <w:iCs/>
          <w:color w:val="A6A6A6" w:themeColor="background1" w:themeShade="A6"/>
          <w:lang w:val="en-US"/>
        </w:rPr>
        <w:t xml:space="preserve">proposed </w:t>
      </w:r>
      <w:r w:rsidRPr="00BD22B2">
        <w:rPr>
          <w:rFonts w:cs="Arial"/>
          <w:i/>
          <w:iCs/>
          <w:color w:val="A6A6A6" w:themeColor="background1" w:themeShade="A6"/>
          <w:lang w:val="en-US"/>
        </w:rPr>
        <w:t>enhanc</w:t>
      </w:r>
      <w:r w:rsidR="00BD22B2">
        <w:rPr>
          <w:rFonts w:cs="Arial"/>
          <w:i/>
          <w:iCs/>
          <w:color w:val="A6A6A6" w:themeColor="background1" w:themeShade="A6"/>
          <w:lang w:val="en-US"/>
        </w:rPr>
        <w:t xml:space="preserve">ing </w:t>
      </w:r>
      <w:r w:rsidRPr="00BD22B2">
        <w:rPr>
          <w:rFonts w:cs="Arial"/>
          <w:i/>
          <w:iCs/>
          <w:color w:val="A6A6A6" w:themeColor="background1" w:themeShade="A6"/>
          <w:lang w:val="en-US"/>
        </w:rPr>
        <w:t>the value of this document</w:t>
      </w:r>
      <w:r w:rsidR="00BD22B2">
        <w:rPr>
          <w:rFonts w:cs="Arial"/>
          <w:i/>
          <w:iCs/>
          <w:color w:val="A6A6A6" w:themeColor="background1" w:themeShade="A6"/>
          <w:lang w:val="en-US"/>
        </w:rPr>
        <w:t xml:space="preserve"> by including them</w:t>
      </w:r>
      <w:r w:rsidRPr="00BD22B2">
        <w:rPr>
          <w:rFonts w:cs="Arial"/>
          <w:i/>
          <w:iCs/>
          <w:color w:val="A6A6A6" w:themeColor="background1" w:themeShade="A6"/>
          <w:lang w:val="en-US"/>
        </w:rPr>
        <w:t>. Where these footnotes relate to general Company Law matters, they are included in Grey font</w:t>
      </w:r>
      <w:r w:rsidRPr="00672DC3">
        <w:rPr>
          <w:rFonts w:cs="Arial"/>
          <w:i/>
          <w:iCs/>
          <w:lang w:val="en-US"/>
        </w:rPr>
        <w:t xml:space="preserve">.  </w:t>
      </w:r>
    </w:p>
    <w:p w14:paraId="593DF659" w14:textId="62E7B8D7" w:rsidR="0012104F" w:rsidRPr="00BD0BB8" w:rsidRDefault="0012104F" w:rsidP="006A005A">
      <w:pPr>
        <w:widowControl w:val="0"/>
        <w:spacing w:after="240"/>
        <w:rPr>
          <w:rFonts w:cs="Arial"/>
          <w:i/>
          <w:iCs/>
          <w:u w:val="single"/>
          <w:lang w:val="en-US"/>
        </w:rPr>
      </w:pPr>
      <w:r w:rsidRPr="00BD0BB8">
        <w:rPr>
          <w:rFonts w:cs="Arial"/>
          <w:i/>
          <w:iCs/>
          <w:u w:val="single"/>
          <w:lang w:val="en-US"/>
        </w:rPr>
        <w:t>Pay-to-Play Provision</w:t>
      </w:r>
      <w:r w:rsidRPr="00BD0BB8">
        <w:rPr>
          <w:rFonts w:cs="Arial"/>
          <w:i/>
          <w:iCs/>
          <w:lang w:val="en-US"/>
        </w:rPr>
        <w:t xml:space="preserve">. </w:t>
      </w:r>
    </w:p>
    <w:p w14:paraId="3920A9AC" w14:textId="2F09354D" w:rsidR="0012104F" w:rsidRPr="00BD0BB8" w:rsidRDefault="0012104F" w:rsidP="006A005A">
      <w:pPr>
        <w:widowControl w:val="0"/>
        <w:spacing w:after="240"/>
        <w:rPr>
          <w:rFonts w:cs="Arial"/>
          <w:i/>
          <w:iCs/>
          <w:lang w:val="en-US"/>
        </w:rPr>
      </w:pPr>
      <w:bookmarkStart w:id="16" w:name="_DV_M12"/>
      <w:bookmarkEnd w:id="16"/>
      <w:r w:rsidRPr="00BD0BB8">
        <w:rPr>
          <w:rFonts w:cs="Arial"/>
          <w:i/>
          <w:iCs/>
          <w:lang w:val="en-US"/>
        </w:rPr>
        <w:t xml:space="preserve">This model MOI </w:t>
      </w:r>
      <w:r w:rsidR="00AD1F75" w:rsidRPr="00BD0BB8">
        <w:rPr>
          <w:rFonts w:cs="Arial"/>
          <w:i/>
          <w:iCs/>
          <w:lang w:val="en-US"/>
        </w:rPr>
        <w:t xml:space="preserve">does not </w:t>
      </w:r>
      <w:r w:rsidRPr="00BD0BB8">
        <w:rPr>
          <w:rFonts w:cs="Arial"/>
          <w:i/>
          <w:iCs/>
          <w:lang w:val="en-US"/>
        </w:rPr>
        <w:t xml:space="preserve">include a sample </w:t>
      </w:r>
      <w:r w:rsidR="006A005A">
        <w:rPr>
          <w:rFonts w:cs="Arial"/>
          <w:i/>
          <w:iCs/>
          <w:lang w:val="en-US"/>
        </w:rPr>
        <w:t>"</w:t>
      </w:r>
      <w:r w:rsidRPr="00BD0BB8">
        <w:rPr>
          <w:rFonts w:cs="Arial"/>
          <w:i/>
          <w:iCs/>
          <w:lang w:val="en-US"/>
        </w:rPr>
        <w:t>pay-to-play</w:t>
      </w:r>
      <w:r w:rsidR="006A005A">
        <w:rPr>
          <w:rFonts w:cs="Arial"/>
          <w:i/>
          <w:iCs/>
          <w:lang w:val="en-US"/>
        </w:rPr>
        <w:t>"</w:t>
      </w:r>
      <w:r w:rsidRPr="00BD0BB8">
        <w:rPr>
          <w:rFonts w:cs="Arial"/>
          <w:i/>
          <w:iCs/>
          <w:lang w:val="en-US"/>
        </w:rPr>
        <w:t xml:space="preserve"> provision, pursuant to which Preferred Shareholders are penali</w:t>
      </w:r>
      <w:r w:rsidR="00DB6D73">
        <w:rPr>
          <w:rFonts w:cs="Arial"/>
          <w:i/>
          <w:iCs/>
          <w:lang w:val="en-US"/>
        </w:rPr>
        <w:t>s</w:t>
      </w:r>
      <w:r w:rsidRPr="00BD0BB8">
        <w:rPr>
          <w:rFonts w:cs="Arial"/>
          <w:i/>
          <w:iCs/>
          <w:lang w:val="en-US"/>
        </w:rPr>
        <w:t xml:space="preserve">ed if they fail to </w:t>
      </w:r>
      <w:r w:rsidR="00AD1F75" w:rsidRPr="00BD0BB8">
        <w:rPr>
          <w:rFonts w:cs="Arial"/>
          <w:i/>
          <w:iCs/>
          <w:lang w:val="en-US"/>
        </w:rPr>
        <w:t xml:space="preserve">follow on by </w:t>
      </w:r>
      <w:r w:rsidRPr="00BD0BB8">
        <w:rPr>
          <w:rFonts w:cs="Arial"/>
          <w:i/>
          <w:iCs/>
          <w:lang w:val="en-US"/>
        </w:rPr>
        <w:t>invest</w:t>
      </w:r>
      <w:r w:rsidR="00AD1F75" w:rsidRPr="00BD0BB8">
        <w:rPr>
          <w:rFonts w:cs="Arial"/>
          <w:i/>
          <w:iCs/>
          <w:lang w:val="en-US"/>
        </w:rPr>
        <w:t>ing</w:t>
      </w:r>
      <w:r w:rsidRPr="00BD0BB8">
        <w:rPr>
          <w:rFonts w:cs="Arial"/>
          <w:i/>
          <w:iCs/>
          <w:lang w:val="en-US"/>
        </w:rPr>
        <w:t xml:space="preserve"> to a specified extent in future rounds of financing. Rarely if ever applied in SA,</w:t>
      </w:r>
      <w:r w:rsidR="00BB70D5" w:rsidRPr="00BD0BB8">
        <w:rPr>
          <w:rFonts w:cs="Arial"/>
          <w:i/>
          <w:iCs/>
          <w:lang w:val="en-US"/>
        </w:rPr>
        <w:t xml:space="preserve"> and should be prefaced by a discussion around expectations for follow on investments between the Company and the Investor. May </w:t>
      </w:r>
      <w:r w:rsidRPr="00BD0BB8">
        <w:rPr>
          <w:rFonts w:cs="Arial"/>
          <w:i/>
          <w:iCs/>
          <w:lang w:val="en-US"/>
        </w:rPr>
        <w:t xml:space="preserve">become </w:t>
      </w:r>
      <w:r w:rsidR="00BB70D5" w:rsidRPr="00BD0BB8">
        <w:rPr>
          <w:rFonts w:cs="Arial"/>
          <w:i/>
          <w:iCs/>
          <w:lang w:val="en-US"/>
        </w:rPr>
        <w:t xml:space="preserve">relevant if/when </w:t>
      </w:r>
      <w:r w:rsidRPr="00BD0BB8">
        <w:rPr>
          <w:rFonts w:cs="Arial"/>
          <w:i/>
          <w:iCs/>
          <w:lang w:val="en-US"/>
        </w:rPr>
        <w:t xml:space="preserve">international investors become more active in SA investments. </w:t>
      </w:r>
    </w:p>
    <w:p w14:paraId="77B28B58" w14:textId="0267486A" w:rsidR="0012104F" w:rsidRPr="00BD0BB8" w:rsidRDefault="0012104F" w:rsidP="006A005A">
      <w:pPr>
        <w:widowControl w:val="0"/>
        <w:spacing w:after="240"/>
        <w:rPr>
          <w:rFonts w:cs="Arial"/>
          <w:i/>
          <w:iCs/>
          <w:u w:val="single"/>
          <w:lang w:val="en-US"/>
        </w:rPr>
      </w:pPr>
      <w:r w:rsidRPr="00BD0BB8">
        <w:rPr>
          <w:rFonts w:cs="Arial"/>
          <w:i/>
          <w:iCs/>
          <w:u w:val="single"/>
          <w:lang w:val="en-US"/>
        </w:rPr>
        <w:t xml:space="preserve">Blank Check Preference Shares </w:t>
      </w:r>
    </w:p>
    <w:p w14:paraId="33B47955" w14:textId="1D73EE76" w:rsidR="0012104F" w:rsidRPr="00BD0BB8" w:rsidRDefault="0012104F" w:rsidP="006A005A">
      <w:pPr>
        <w:widowControl w:val="0"/>
        <w:spacing w:after="240"/>
        <w:rPr>
          <w:rFonts w:cs="Arial"/>
          <w:i/>
          <w:iCs/>
        </w:rPr>
      </w:pPr>
      <w:r w:rsidRPr="00BD0BB8">
        <w:rPr>
          <w:rFonts w:cs="Arial"/>
          <w:i/>
          <w:iCs/>
          <w:lang w:val="en-US"/>
        </w:rPr>
        <w:t xml:space="preserve">This is the term for </w:t>
      </w:r>
      <w:r w:rsidRPr="00BD0BB8">
        <w:rPr>
          <w:rFonts w:cs="Arial"/>
          <w:i/>
          <w:iCs/>
        </w:rPr>
        <w:t xml:space="preserve">the creation of undesignated Shares, when the MOI grants the Board of Directors the authority to create a new class of Shares and to establish the rights, preferences and limitations of the Class. The Board’s authority to effectively create new classes of shares is limited by typical VC investment terms, and requires shareholder approval. We have not included undesignated Shares, </w:t>
      </w:r>
      <w:r w:rsidR="00BB70D5" w:rsidRPr="00BD0BB8">
        <w:rPr>
          <w:rFonts w:cs="Arial"/>
          <w:i/>
          <w:iCs/>
        </w:rPr>
        <w:t>given</w:t>
      </w:r>
      <w:r w:rsidRPr="00BD0BB8">
        <w:rPr>
          <w:rFonts w:cs="Arial"/>
          <w:i/>
          <w:iCs/>
          <w:lang w:val="en-US"/>
        </w:rPr>
        <w:t xml:space="preserve"> that Shareholder protections require approval in such detail that it would not save time</w:t>
      </w:r>
      <w:r w:rsidR="00BB70D5" w:rsidRPr="00BD0BB8">
        <w:rPr>
          <w:rFonts w:cs="Arial"/>
          <w:i/>
          <w:iCs/>
          <w:lang w:val="en-US"/>
        </w:rPr>
        <w:t xml:space="preserve"> </w:t>
      </w:r>
      <w:r w:rsidR="00BB70D5" w:rsidRPr="00BD0BB8">
        <w:rPr>
          <w:rFonts w:cs="Arial"/>
          <w:i/>
          <w:iCs/>
          <w:lang w:val="en-US"/>
        </w:rPr>
        <w:lastRenderedPageBreak/>
        <w:t xml:space="preserve">or convenience, rather </w:t>
      </w:r>
      <w:r w:rsidRPr="00BD0BB8">
        <w:rPr>
          <w:rFonts w:cs="Arial"/>
          <w:i/>
          <w:iCs/>
          <w:lang w:val="en-US"/>
        </w:rPr>
        <w:t>may confuse investors, create impression of board overreach if they have the right to designate new share classes.</w:t>
      </w:r>
    </w:p>
    <w:p w14:paraId="6FA14F1A" w14:textId="3519FBA9" w:rsidR="00333A97" w:rsidRPr="00BD0BB8" w:rsidRDefault="00333A97" w:rsidP="006A005A">
      <w:pPr>
        <w:widowControl w:val="0"/>
        <w:spacing w:after="240"/>
        <w:rPr>
          <w:rFonts w:cs="Arial"/>
        </w:rPr>
      </w:pPr>
    </w:p>
    <w:p w14:paraId="3545E9F1" w14:textId="77777777" w:rsidR="00BD22B2" w:rsidRDefault="00BD22B2" w:rsidP="006A005A">
      <w:pPr>
        <w:spacing w:line="240" w:lineRule="auto"/>
        <w:rPr>
          <w:rFonts w:cs="Arial"/>
          <w:b/>
          <w:bCs/>
          <w:caps/>
          <w:color w:val="000000"/>
          <w:u w:val="single"/>
        </w:rPr>
      </w:pPr>
      <w:bookmarkStart w:id="17" w:name="TEMP"/>
      <w:bookmarkStart w:id="18" w:name="_Toc256693242"/>
      <w:bookmarkStart w:id="19" w:name="_Toc256693474"/>
      <w:bookmarkStart w:id="20" w:name="_Toc256693620"/>
      <w:bookmarkStart w:id="21" w:name="_Toc256695160"/>
      <w:bookmarkStart w:id="22" w:name="_Toc256695484"/>
      <w:bookmarkStart w:id="23" w:name="_Toc234982066"/>
      <w:bookmarkEnd w:id="17"/>
      <w:r>
        <w:rPr>
          <w:u w:val="single"/>
        </w:rPr>
        <w:br w:type="page"/>
      </w:r>
    </w:p>
    <w:p w14:paraId="38E40EBF" w14:textId="38231769" w:rsidR="00CA4145" w:rsidRPr="00BD0BB8" w:rsidRDefault="00BF3AAB" w:rsidP="006A005A">
      <w:pPr>
        <w:pStyle w:val="Heading1"/>
        <w:keepNext w:val="0"/>
        <w:widowControl w:val="0"/>
        <w:numPr>
          <w:ilvl w:val="0"/>
          <w:numId w:val="0"/>
        </w:numPr>
        <w:ind w:left="709" w:hanging="709"/>
        <w:jc w:val="both"/>
        <w:rPr>
          <w:rFonts w:ascii="Arial" w:hAnsi="Arial"/>
          <w:u w:val="single"/>
        </w:rPr>
      </w:pPr>
      <w:r w:rsidRPr="00BD0BB8">
        <w:rPr>
          <w:rFonts w:ascii="Arial" w:hAnsi="Arial"/>
          <w:u w:val="single"/>
        </w:rPr>
        <w:lastRenderedPageBreak/>
        <w:t>PART 1 – INTRODUCTORY AND</w:t>
      </w:r>
      <w:r w:rsidRPr="00BD0BB8">
        <w:rPr>
          <w:rFonts w:ascii="Arial" w:hAnsi="Arial"/>
          <w:caps w:val="0"/>
          <w:u w:val="single"/>
        </w:rPr>
        <w:t xml:space="preserve"> INTERPRETATION</w:t>
      </w:r>
    </w:p>
    <w:p w14:paraId="20168710" w14:textId="5AA96F29" w:rsidR="00462C16" w:rsidRPr="00BD0BB8" w:rsidRDefault="00BF3AAB" w:rsidP="006A005A">
      <w:pPr>
        <w:pStyle w:val="DA1FirstLevelHeading"/>
        <w:keepNext w:val="0"/>
        <w:widowControl w:val="0"/>
        <w:jc w:val="both"/>
      </w:pPr>
      <w:bookmarkStart w:id="24" w:name="_Ref461010277"/>
      <w:r w:rsidRPr="00BD0BB8">
        <w:t>INTERPRETATION</w:t>
      </w:r>
      <w:bookmarkEnd w:id="18"/>
      <w:bookmarkEnd w:id="19"/>
      <w:bookmarkEnd w:id="20"/>
      <w:bookmarkEnd w:id="21"/>
      <w:bookmarkEnd w:id="22"/>
      <w:bookmarkEnd w:id="24"/>
      <w:r w:rsidR="00D66878" w:rsidRPr="00BD0BB8">
        <w:rPr>
          <w:color w:val="auto"/>
        </w:rPr>
        <w:t xml:space="preserve"> </w:t>
      </w:r>
      <w:r w:rsidR="00D66878" w:rsidRPr="00BD0BB8">
        <w:rPr>
          <w:rStyle w:val="FootnoteReference"/>
          <w:color w:val="auto"/>
        </w:rPr>
        <w:footnoteReference w:id="1"/>
      </w:r>
    </w:p>
    <w:p w14:paraId="1B4823D7" w14:textId="77777777" w:rsidR="002519FA" w:rsidRPr="00BD0BB8" w:rsidRDefault="00BF3AAB" w:rsidP="006A005A">
      <w:pPr>
        <w:pStyle w:val="DA0"/>
        <w:widowControl w:val="0"/>
      </w:pPr>
      <w:bookmarkStart w:id="25" w:name="_Toc256693243"/>
      <w:bookmarkStart w:id="26" w:name="_Toc256693475"/>
      <w:bookmarkStart w:id="27" w:name="_Toc256693621"/>
      <w:bookmarkStart w:id="28" w:name="_Toc256695161"/>
      <w:r w:rsidRPr="00BD0BB8">
        <w:t>In this MOI</w:t>
      </w:r>
      <w:r w:rsidR="00D22DD7" w:rsidRPr="00BD0BB8">
        <w:t>:</w:t>
      </w:r>
    </w:p>
    <w:p w14:paraId="3993BD55" w14:textId="77777777" w:rsidR="00462C16" w:rsidRPr="00BD0BB8" w:rsidRDefault="00BF3AAB" w:rsidP="006A005A">
      <w:pPr>
        <w:pStyle w:val="DA2SecondLevel"/>
        <w:keepNext w:val="0"/>
        <w:widowControl w:val="0"/>
        <w:jc w:val="both"/>
      </w:pPr>
      <w:bookmarkStart w:id="29" w:name="_Ref258834669"/>
      <w:r w:rsidRPr="00BD0BB8">
        <w:t xml:space="preserve">words defined in the </w:t>
      </w:r>
      <w:r w:rsidR="0050570C" w:rsidRPr="00BD0BB8">
        <w:t>Act</w:t>
      </w:r>
      <w:r w:rsidRPr="00BD0BB8">
        <w:t xml:space="preserve"> but not defined in this MOI will bear the same meaning, where applicable, in this MOI as in the </w:t>
      </w:r>
      <w:r w:rsidR="0050570C" w:rsidRPr="00BD0BB8">
        <w:t>Act</w:t>
      </w:r>
      <w:r w:rsidRPr="00BD0BB8">
        <w:t>. For ease of reference all defined terms have been capitalised in this MOI</w:t>
      </w:r>
      <w:r w:rsidR="004A54E1" w:rsidRPr="00BD0BB8">
        <w:t xml:space="preserve"> (</w:t>
      </w:r>
      <w:r w:rsidRPr="00BD0BB8">
        <w:t xml:space="preserve">including the </w:t>
      </w:r>
      <w:r w:rsidR="004A54E1" w:rsidRPr="00BD0BB8">
        <w:t xml:space="preserve">relevant </w:t>
      </w:r>
      <w:r w:rsidRPr="00BD0BB8">
        <w:t xml:space="preserve">definitions </w:t>
      </w:r>
      <w:r w:rsidR="004A54E1" w:rsidRPr="00BD0BB8">
        <w:t xml:space="preserve">contained in </w:t>
      </w:r>
      <w:r w:rsidRPr="00BD0BB8">
        <w:t xml:space="preserve">the </w:t>
      </w:r>
      <w:r w:rsidR="0050570C" w:rsidRPr="00BD0BB8">
        <w:t>Act</w:t>
      </w:r>
      <w:r w:rsidR="004A54E1" w:rsidRPr="00BD0BB8">
        <w:t>)</w:t>
      </w:r>
      <w:r w:rsidR="002519FA" w:rsidRPr="00BD0BB8">
        <w:t>;</w:t>
      </w:r>
      <w:bookmarkEnd w:id="29"/>
    </w:p>
    <w:p w14:paraId="67A0C2A4" w14:textId="77777777" w:rsidR="00CA2BAB" w:rsidRPr="00BD0BB8" w:rsidRDefault="00BF3AAB" w:rsidP="006A005A">
      <w:pPr>
        <w:pStyle w:val="DA2SecondLevel"/>
        <w:keepNext w:val="0"/>
        <w:widowControl w:val="0"/>
        <w:jc w:val="both"/>
      </w:pPr>
      <w:bookmarkStart w:id="30" w:name="_Ref11927728"/>
      <w:r w:rsidRPr="00BD0BB8">
        <w:t xml:space="preserve">unless the context </w:t>
      </w:r>
      <w:r w:rsidR="00FC2930" w:rsidRPr="00BD0BB8">
        <w:t xml:space="preserve">requires </w:t>
      </w:r>
      <w:r w:rsidRPr="00BD0BB8">
        <w:t>otherwise</w:t>
      </w:r>
      <w:r w:rsidR="00D22DD7" w:rsidRPr="00BD0BB8">
        <w:t>:</w:t>
      </w:r>
      <w:bookmarkEnd w:id="25"/>
      <w:bookmarkEnd w:id="26"/>
      <w:bookmarkEnd w:id="27"/>
      <w:bookmarkEnd w:id="28"/>
      <w:bookmarkEnd w:id="30"/>
    </w:p>
    <w:p w14:paraId="460799FE" w14:textId="7CF535BA" w:rsidR="003F41B2" w:rsidRPr="00BD0BB8" w:rsidRDefault="003F41B2" w:rsidP="006A005A">
      <w:pPr>
        <w:pStyle w:val="DA3Third"/>
      </w:pPr>
      <w:r w:rsidRPr="00BD0BB8">
        <w:t>[</w:t>
      </w:r>
      <w:r w:rsidR="006A005A">
        <w:t>"</w:t>
      </w:r>
      <w:r w:rsidRPr="00BD0BB8">
        <w:rPr>
          <w:b/>
          <w:bCs/>
        </w:rPr>
        <w:t>Accruing Dividends</w:t>
      </w:r>
      <w:r w:rsidR="006A005A">
        <w:t>"</w:t>
      </w:r>
      <w:r w:rsidRPr="00BD0BB8">
        <w:t xml:space="preserve"> means the accruing dividend rights of the </w:t>
      </w:r>
      <w:r w:rsidR="00C03060">
        <w:t>Preference</w:t>
      </w:r>
      <w:r w:rsidRPr="00BD0BB8">
        <w:t xml:space="preserve"> Shares as described in </w:t>
      </w:r>
      <w:r w:rsidRPr="00CF491A">
        <w:t>clause</w:t>
      </w:r>
      <w:r w:rsidRPr="00BD0BB8">
        <w:t xml:space="preserve"> </w:t>
      </w:r>
      <w:r w:rsidR="008D6F0A">
        <w:rPr>
          <w:highlight w:val="yellow"/>
        </w:rPr>
        <w:fldChar w:fldCharType="begin"/>
      </w:r>
      <w:r w:rsidR="008D6F0A">
        <w:instrText xml:space="preserve"> REF _Ref209007055 \r \h </w:instrText>
      </w:r>
      <w:r w:rsidR="006A005A">
        <w:rPr>
          <w:highlight w:val="yellow"/>
        </w:rPr>
        <w:instrText xml:space="preserve"> \* MERGEFORMAT </w:instrText>
      </w:r>
      <w:r w:rsidR="008D6F0A">
        <w:rPr>
          <w:highlight w:val="yellow"/>
        </w:rPr>
      </w:r>
      <w:r w:rsidR="008D6F0A">
        <w:rPr>
          <w:highlight w:val="yellow"/>
        </w:rPr>
        <w:fldChar w:fldCharType="separate"/>
      </w:r>
      <w:r w:rsidR="00633773">
        <w:t>4.1.1</w:t>
      </w:r>
      <w:r w:rsidR="008D6F0A">
        <w:rPr>
          <w:highlight w:val="yellow"/>
        </w:rPr>
        <w:fldChar w:fldCharType="end"/>
      </w:r>
      <w:r w:rsidR="008D6F0A">
        <w:t xml:space="preserve"> of Annexure A</w:t>
      </w:r>
      <w:r w:rsidRPr="00BD0BB8">
        <w:t>;]</w:t>
      </w:r>
    </w:p>
    <w:p w14:paraId="0823DFD5" w14:textId="75A7DF7A" w:rsidR="00796E7E" w:rsidRPr="00BD0BB8" w:rsidRDefault="006A005A" w:rsidP="006A005A">
      <w:pPr>
        <w:pStyle w:val="DA3Third"/>
      </w:pPr>
      <w:r>
        <w:t>"</w:t>
      </w:r>
      <w:r w:rsidR="0050570C" w:rsidRPr="00BD0BB8">
        <w:rPr>
          <w:b/>
        </w:rPr>
        <w:t>Act</w:t>
      </w:r>
      <w:r>
        <w:t>"</w:t>
      </w:r>
      <w:r w:rsidR="00BF3AAB" w:rsidRPr="00BD0BB8">
        <w:t xml:space="preserve"> means</w:t>
      </w:r>
      <w:r w:rsidR="00A12B22" w:rsidRPr="00BD0BB8">
        <w:t xml:space="preserve"> </w:t>
      </w:r>
      <w:r w:rsidR="00BF3AAB" w:rsidRPr="00BD0BB8">
        <w:t xml:space="preserve">the </w:t>
      </w:r>
      <w:r w:rsidR="0050570C" w:rsidRPr="00BD0BB8">
        <w:t>Companies Act</w:t>
      </w:r>
      <w:r w:rsidR="007A11F0" w:rsidRPr="00BD0BB8">
        <w:t>,</w:t>
      </w:r>
      <w:r w:rsidR="00BF3AAB" w:rsidRPr="00BD0BB8">
        <w:t xml:space="preserve"> 71 of 2008, as amended from time to time</w:t>
      </w:r>
      <w:r w:rsidR="004A54E1" w:rsidRPr="00BD0BB8">
        <w:t>;</w:t>
      </w:r>
    </w:p>
    <w:p w14:paraId="16CFCA41" w14:textId="367AE3A5" w:rsidR="00AA6B09" w:rsidRPr="00BD0BB8" w:rsidRDefault="006A005A" w:rsidP="006A005A">
      <w:pPr>
        <w:pStyle w:val="DA3Third"/>
      </w:pPr>
      <w:r>
        <w:t>"</w:t>
      </w:r>
      <w:r w:rsidR="00AA6B09" w:rsidRPr="00BD0BB8">
        <w:rPr>
          <w:b/>
          <w:bCs/>
        </w:rPr>
        <w:t>Adjustment Fraction</w:t>
      </w:r>
      <w:r>
        <w:t>"</w:t>
      </w:r>
      <w:r w:rsidR="00AA6B09" w:rsidRPr="00BD0BB8">
        <w:t xml:space="preserve"> means the adjustment fraction for adjusting the Conversion Price in the circumstances of a capitali</w:t>
      </w:r>
      <w:r w:rsidR="0020169E">
        <w:t>s</w:t>
      </w:r>
      <w:r w:rsidR="00AA6B09" w:rsidRPr="00BD0BB8">
        <w:t xml:space="preserve">ation issue, as described in paragraph </w:t>
      </w:r>
      <w:r w:rsidR="00AA6B09" w:rsidRPr="00BD0BB8">
        <w:fldChar w:fldCharType="begin"/>
      </w:r>
      <w:r w:rsidR="00AA6B09" w:rsidRPr="00BD0BB8">
        <w:instrText xml:space="preserve"> REF _Ref208999611 \r \h </w:instrText>
      </w:r>
      <w:r w:rsidR="00BD0BB8" w:rsidRPr="00BD0BB8">
        <w:instrText xml:space="preserve"> \* MERGEFORMAT </w:instrText>
      </w:r>
      <w:r w:rsidR="00AA6B09" w:rsidRPr="00BD0BB8">
        <w:fldChar w:fldCharType="separate"/>
      </w:r>
      <w:r w:rsidR="00633773">
        <w:t>9.2.1</w:t>
      </w:r>
      <w:r w:rsidR="00AA6B09" w:rsidRPr="00BD0BB8">
        <w:fldChar w:fldCharType="end"/>
      </w:r>
      <w:r w:rsidR="00AA6B09" w:rsidRPr="00BD0BB8">
        <w:t xml:space="preserve">; </w:t>
      </w:r>
    </w:p>
    <w:p w14:paraId="634EA90C" w14:textId="2EE665DB" w:rsidR="005973ED" w:rsidRPr="00BD0BB8" w:rsidRDefault="006A005A" w:rsidP="006A005A">
      <w:pPr>
        <w:pStyle w:val="DA3Third"/>
      </w:pPr>
      <w:r>
        <w:t>"</w:t>
      </w:r>
      <w:r w:rsidR="005973ED" w:rsidRPr="00BD0BB8">
        <w:rPr>
          <w:b/>
          <w:bCs/>
        </w:rPr>
        <w:t>Affiliate</w:t>
      </w:r>
      <w:r>
        <w:t>"</w:t>
      </w:r>
      <w:r w:rsidR="005973ED" w:rsidRPr="00BD0BB8">
        <w:t xml:space="preserve"> means (with respect to any company, close corporation, trust or individual) any other company, close corporation, trust or individual which is related or controlled by, or controls the first mentioned company, close corporation, trust or individual as described by section 2 of the Companies Act;</w:t>
      </w:r>
    </w:p>
    <w:p w14:paraId="72507C19" w14:textId="3D66D265" w:rsidR="00252530" w:rsidRPr="00BD0BB8" w:rsidRDefault="006A005A" w:rsidP="006A005A">
      <w:pPr>
        <w:pStyle w:val="DA3Third"/>
      </w:pPr>
      <w:bookmarkStart w:id="31" w:name="_Hlk213947254"/>
      <w:r>
        <w:t>"</w:t>
      </w:r>
      <w:r w:rsidR="00252530" w:rsidRPr="00BD0BB8">
        <w:rPr>
          <w:b/>
          <w:bCs/>
        </w:rPr>
        <w:t>As-Converted Basis</w:t>
      </w:r>
      <w:r>
        <w:t>"</w:t>
      </w:r>
      <w:r w:rsidR="00252530" w:rsidRPr="00BD0BB8">
        <w:t xml:space="preserve"> means, for the purpose of calculating Voting Rights and dividends, treating each Preferred Share as if it had been converted into the number of Ordinary Shares determined by the then-current Conversion Ratio</w:t>
      </w:r>
      <w:r w:rsidR="007E5EF0" w:rsidRPr="00BD0BB8">
        <w:t xml:space="preserve">; </w:t>
      </w:r>
    </w:p>
    <w:bookmarkEnd w:id="31"/>
    <w:p w14:paraId="5BB813D0" w14:textId="334FDF80" w:rsidR="00320878" w:rsidRPr="00BD0BB8" w:rsidRDefault="006A005A" w:rsidP="006A005A">
      <w:pPr>
        <w:pStyle w:val="DA3Third"/>
      </w:pPr>
      <w:r>
        <w:t>"</w:t>
      </w:r>
      <w:r w:rsidR="00320878" w:rsidRPr="00BD0BB8">
        <w:rPr>
          <w:b/>
          <w:bCs/>
        </w:rPr>
        <w:t>Auditor</w:t>
      </w:r>
      <w:r>
        <w:t>"</w:t>
      </w:r>
      <w:r w:rsidR="00320878" w:rsidRPr="00BD0BB8">
        <w:t xml:space="preserve"> means the duly appointed Auditor of the Company, from time to time;</w:t>
      </w:r>
    </w:p>
    <w:p w14:paraId="03D652EB" w14:textId="4791A8E5" w:rsidR="005B1869" w:rsidRPr="00BD0BB8" w:rsidRDefault="006A005A" w:rsidP="00B10290">
      <w:pPr>
        <w:pStyle w:val="DA3Third"/>
      </w:pPr>
      <w:r>
        <w:t>"</w:t>
      </w:r>
      <w:r w:rsidR="005B1869" w:rsidRPr="00BD0BB8">
        <w:rPr>
          <w:b/>
          <w:bCs/>
        </w:rPr>
        <w:t>Company</w:t>
      </w:r>
      <w:r>
        <w:t>"</w:t>
      </w:r>
      <w:r w:rsidR="005B1869" w:rsidRPr="00BD0BB8">
        <w:t xml:space="preserve"> means </w:t>
      </w:r>
      <w:r w:rsidR="00B10290" w:rsidRPr="00B10290">
        <w:t>[●]</w:t>
      </w:r>
      <w:r w:rsidR="00B10290">
        <w:t xml:space="preserve"> </w:t>
      </w:r>
      <w:r w:rsidR="005B1869" w:rsidRPr="00BD0BB8">
        <w:t xml:space="preserve">Proprietary Limited (Company registration number </w:t>
      </w:r>
      <w:r w:rsidR="00B10290" w:rsidRPr="00B10290">
        <w:t>[●]</w:t>
      </w:r>
      <w:r w:rsidR="005B1869" w:rsidRPr="00BD22B2">
        <w:t xml:space="preserve">), a private profit company registered and incorporated under the Act, with its registered address situated at </w:t>
      </w:r>
      <w:r w:rsidR="00B10290" w:rsidRPr="00B10290">
        <w:t>[●]</w:t>
      </w:r>
      <w:r w:rsidR="005B1869" w:rsidRPr="00BD22B2">
        <w:t xml:space="preserve">; email: </w:t>
      </w:r>
      <w:r w:rsidR="00B10290" w:rsidRPr="00B10290">
        <w:t>[●]</w:t>
      </w:r>
      <w:r w:rsidR="005B1869" w:rsidRPr="00BD22B2">
        <w:t>;</w:t>
      </w:r>
    </w:p>
    <w:p w14:paraId="5037B7C5" w14:textId="623171D3" w:rsidR="00A47880" w:rsidRPr="00BD0BB8" w:rsidRDefault="006A005A" w:rsidP="006A005A">
      <w:pPr>
        <w:pStyle w:val="DA3Third"/>
      </w:pPr>
      <w:r>
        <w:lastRenderedPageBreak/>
        <w:t>"</w:t>
      </w:r>
      <w:r w:rsidR="00A47880" w:rsidRPr="00BD0BB8">
        <w:rPr>
          <w:b/>
          <w:bCs/>
        </w:rPr>
        <w:t>Conversion</w:t>
      </w:r>
      <w:r>
        <w:t>"</w:t>
      </w:r>
      <w:r w:rsidR="00A47880" w:rsidRPr="00BD0BB8">
        <w:t xml:space="preserve"> means conversion of the </w:t>
      </w:r>
      <w:r w:rsidR="00C03060">
        <w:t>Preference</w:t>
      </w:r>
      <w:r w:rsidR="005B1D25" w:rsidRPr="00BD0BB8">
        <w:t xml:space="preserve"> Shares </w:t>
      </w:r>
      <w:r w:rsidR="00A47880" w:rsidRPr="00BD0BB8">
        <w:t>into Ordinary Shares on the terms of Annexure A;</w:t>
      </w:r>
    </w:p>
    <w:p w14:paraId="3117F10E" w14:textId="1A92B077" w:rsidR="00252530" w:rsidRPr="00BD0BB8" w:rsidRDefault="006A005A" w:rsidP="006A005A">
      <w:pPr>
        <w:pStyle w:val="DA3Third"/>
      </w:pPr>
      <w:r>
        <w:t>"</w:t>
      </w:r>
      <w:r w:rsidR="00252530" w:rsidRPr="00BD0BB8">
        <w:rPr>
          <w:b/>
          <w:bCs/>
        </w:rPr>
        <w:t>Conversion Ratio</w:t>
      </w:r>
      <w:r>
        <w:t>"</w:t>
      </w:r>
      <w:r w:rsidR="00252530" w:rsidRPr="00BD0BB8">
        <w:t xml:space="preserve"> means the number of Ordinary Shares into which each Preferred Share is convertible at a given time,</w:t>
      </w:r>
      <w:r w:rsidR="007D15C5" w:rsidRPr="00BD0BB8">
        <w:rPr>
          <w:color w:val="808080" w:themeColor="background1" w:themeShade="80"/>
          <w:lang w:eastAsia="en-US"/>
        </w:rPr>
        <w:t xml:space="preserve"> </w:t>
      </w:r>
      <w:r w:rsidR="007D15C5" w:rsidRPr="00BD0BB8">
        <w:t xml:space="preserve">determined by dividing the Original Issue Price by the Conversion Price for the </w:t>
      </w:r>
      <w:r w:rsidR="00C03060">
        <w:t>Preference</w:t>
      </w:r>
      <w:r w:rsidR="005B1D25" w:rsidRPr="00BD0BB8">
        <w:t xml:space="preserve"> Shares </w:t>
      </w:r>
      <w:r w:rsidR="007D15C5" w:rsidRPr="00BD0BB8">
        <w:t>in effect at the time of conversion</w:t>
      </w:r>
      <w:r w:rsidR="005B1D25" w:rsidRPr="00BD0BB8">
        <w:t xml:space="preserve">; </w:t>
      </w:r>
    </w:p>
    <w:p w14:paraId="67C198A6" w14:textId="3F7F8D7D" w:rsidR="005B1D25" w:rsidRPr="00BD0BB8" w:rsidRDefault="006A005A" w:rsidP="006A005A">
      <w:pPr>
        <w:pStyle w:val="DA3Third"/>
      </w:pPr>
      <w:r>
        <w:t>"</w:t>
      </w:r>
      <w:r w:rsidR="005B1D25" w:rsidRPr="00BD0BB8">
        <w:rPr>
          <w:b/>
          <w:bCs/>
        </w:rPr>
        <w:t>Conversion Price</w:t>
      </w:r>
      <w:r>
        <w:t>"</w:t>
      </w:r>
      <w:r w:rsidR="005B1D25" w:rsidRPr="00BD0BB8">
        <w:t xml:space="preserve"> for the </w:t>
      </w:r>
      <w:r w:rsidR="00C03060">
        <w:t>Preference</w:t>
      </w:r>
      <w:r w:rsidR="005B1D25" w:rsidRPr="00BD0BB8">
        <w:t xml:space="preserve"> Shares shall initially be Original Issue Price and shall be subject to adjustment as provided in paragraph </w:t>
      </w:r>
      <w:r w:rsidR="005B4DDB">
        <w:fldChar w:fldCharType="begin"/>
      </w:r>
      <w:r w:rsidR="005B4DDB">
        <w:instrText xml:space="preserve"> REF _Ref209356361 \r \h </w:instrText>
      </w:r>
      <w:r>
        <w:instrText xml:space="preserve"> \* MERGEFORMAT </w:instrText>
      </w:r>
      <w:r w:rsidR="005B4DDB">
        <w:fldChar w:fldCharType="separate"/>
      </w:r>
      <w:r w:rsidR="00633773">
        <w:t>8</w:t>
      </w:r>
      <w:r w:rsidR="005B4DDB">
        <w:fldChar w:fldCharType="end"/>
      </w:r>
      <w:r w:rsidR="005B1D25" w:rsidRPr="00BD0BB8">
        <w:t xml:space="preserve"> (Anti-Dilution), </w:t>
      </w:r>
      <w:r w:rsidR="005B1D25" w:rsidRPr="00BD0BB8">
        <w:fldChar w:fldCharType="begin"/>
      </w:r>
      <w:r w:rsidR="005B1D25" w:rsidRPr="00BD0BB8">
        <w:instrText xml:space="preserve"> REF _Ref80774952 \r \h  \* MERGEFORMAT </w:instrText>
      </w:r>
      <w:r w:rsidR="005B1D25" w:rsidRPr="00BD0BB8">
        <w:fldChar w:fldCharType="separate"/>
      </w:r>
      <w:r w:rsidR="00633773">
        <w:t>9</w:t>
      </w:r>
      <w:r w:rsidR="005B1D25" w:rsidRPr="00BD0BB8">
        <w:fldChar w:fldCharType="end"/>
      </w:r>
      <w:r w:rsidR="005B1D25" w:rsidRPr="00BD0BB8">
        <w:t xml:space="preserve"> (Other Adjustments) and </w:t>
      </w:r>
      <w:r w:rsidR="005B1D25" w:rsidRPr="00BD0BB8">
        <w:fldChar w:fldCharType="begin"/>
      </w:r>
      <w:r w:rsidR="005B1D25" w:rsidRPr="00BD0BB8">
        <w:instrText xml:space="preserve"> REF _Ref80789977 \r \h  \* MERGEFORMAT </w:instrText>
      </w:r>
      <w:r w:rsidR="005B1D25" w:rsidRPr="00BD0BB8">
        <w:fldChar w:fldCharType="separate"/>
      </w:r>
      <w:r w:rsidR="00633773">
        <w:t>10</w:t>
      </w:r>
      <w:r w:rsidR="005B1D25" w:rsidRPr="00BD0BB8">
        <w:fldChar w:fldCharType="end"/>
      </w:r>
      <w:r w:rsidR="005B1D25" w:rsidRPr="00BD0BB8">
        <w:t xml:space="preserve"> (Mechanics of Conversion) of Annexure A; </w:t>
      </w:r>
    </w:p>
    <w:p w14:paraId="0491D577" w14:textId="35FC6EBC" w:rsidR="00727250" w:rsidRPr="00BD0BB8" w:rsidRDefault="006A005A" w:rsidP="006A005A">
      <w:pPr>
        <w:pStyle w:val="DA3Third"/>
      </w:pPr>
      <w:r>
        <w:t>"</w:t>
      </w:r>
      <w:r w:rsidR="00727250" w:rsidRPr="00BD0BB8">
        <w:rPr>
          <w:b/>
        </w:rPr>
        <w:t>Control</w:t>
      </w:r>
      <w:r>
        <w:t>"</w:t>
      </w:r>
      <w:r w:rsidR="00727250" w:rsidRPr="00BD0BB8">
        <w:t xml:space="preserve"> means with, respect to any company:</w:t>
      </w:r>
    </w:p>
    <w:p w14:paraId="69B6E1FD" w14:textId="77777777" w:rsidR="00727250" w:rsidRPr="00BD0BB8" w:rsidRDefault="00727250" w:rsidP="006A005A">
      <w:pPr>
        <w:pStyle w:val="DA4ThirdLevelNumbering"/>
        <w:rPr>
          <w:rFonts w:cs="Arial"/>
          <w:szCs w:val="22"/>
        </w:rPr>
      </w:pPr>
      <w:r w:rsidRPr="00BD0BB8">
        <w:rPr>
          <w:rFonts w:cs="Arial"/>
          <w:szCs w:val="22"/>
        </w:rPr>
        <w:t>the ability to directly or indirectly exercise or control the exercise of a majority of the voting rights associated with securities of that company, whether pursuant to a Shareholder agreement or otherwise; or</w:t>
      </w:r>
    </w:p>
    <w:p w14:paraId="280883C0" w14:textId="77777777" w:rsidR="00727250" w:rsidRPr="00BD0BB8" w:rsidRDefault="00727250" w:rsidP="006A005A">
      <w:pPr>
        <w:pStyle w:val="DA4ThirdLevelNumbering"/>
        <w:rPr>
          <w:rFonts w:cs="Arial"/>
          <w:szCs w:val="22"/>
        </w:rPr>
      </w:pPr>
      <w:r w:rsidRPr="00BD0BB8">
        <w:rPr>
          <w:rFonts w:cs="Arial"/>
          <w:szCs w:val="22"/>
        </w:rPr>
        <w:t>the right to appoint or elect, or control the appointment or election of, directors who control a majority of the votes at a meeting of the board of the company;</w:t>
      </w:r>
    </w:p>
    <w:p w14:paraId="3DF68346" w14:textId="5DFDA9A8" w:rsidR="00AA6B09" w:rsidRPr="00BD0BB8" w:rsidRDefault="006A005A" w:rsidP="006A005A">
      <w:pPr>
        <w:pStyle w:val="DA3Third"/>
      </w:pPr>
      <w:r>
        <w:t>"</w:t>
      </w:r>
      <w:r w:rsidR="00AA6B09" w:rsidRPr="00BD0BB8">
        <w:rPr>
          <w:b/>
          <w:bCs/>
        </w:rPr>
        <w:t>Dilutive Issuance</w:t>
      </w:r>
      <w:r>
        <w:t>"</w:t>
      </w:r>
      <w:r w:rsidR="00AA6B09" w:rsidRPr="00BD0BB8">
        <w:t xml:space="preserve"> means where Shares are issued or Deemed Issued by the Company in circumstances described in clause </w:t>
      </w:r>
      <w:r w:rsidR="00AA6B09" w:rsidRPr="00BD0BB8">
        <w:fldChar w:fldCharType="begin"/>
      </w:r>
      <w:r w:rsidR="00AA6B09" w:rsidRPr="00BD0BB8">
        <w:instrText xml:space="preserve"> REF _Ref208999502 \r \h </w:instrText>
      </w:r>
      <w:r w:rsidR="00BD0BB8" w:rsidRPr="00BD0BB8">
        <w:instrText xml:space="preserve"> \* MERGEFORMAT </w:instrText>
      </w:r>
      <w:r w:rsidR="00AA6B09" w:rsidRPr="00BD0BB8">
        <w:fldChar w:fldCharType="separate"/>
      </w:r>
      <w:r w:rsidR="00633773">
        <w:t>8.1</w:t>
      </w:r>
      <w:r w:rsidR="00AA6B09" w:rsidRPr="00BD0BB8">
        <w:fldChar w:fldCharType="end"/>
      </w:r>
      <w:r w:rsidR="00AA6B09" w:rsidRPr="00BD0BB8">
        <w:t xml:space="preserve"> of Annexure A; </w:t>
      </w:r>
    </w:p>
    <w:p w14:paraId="1C043E4A" w14:textId="45444205" w:rsidR="00C500EA" w:rsidRPr="00BD0BB8" w:rsidRDefault="006A005A" w:rsidP="006A005A">
      <w:pPr>
        <w:pStyle w:val="DA3Third"/>
      </w:pPr>
      <w:r>
        <w:t>"</w:t>
      </w:r>
      <w:r w:rsidR="00C500EA" w:rsidRPr="00BD0BB8">
        <w:rPr>
          <w:b/>
          <w:bCs/>
        </w:rPr>
        <w:t>Deemed Issu</w:t>
      </w:r>
      <w:r w:rsidR="00AA6B09" w:rsidRPr="00BD0BB8">
        <w:rPr>
          <w:b/>
          <w:bCs/>
        </w:rPr>
        <w:t>ed</w:t>
      </w:r>
      <w:r>
        <w:t>"</w:t>
      </w:r>
      <w:r w:rsidR="00C500EA" w:rsidRPr="00BD0BB8">
        <w:t xml:space="preserve"> means, for the purpose of the anti-dilution calculation in paragraph </w:t>
      </w:r>
      <w:r w:rsidR="00BD22B2">
        <w:fldChar w:fldCharType="begin"/>
      </w:r>
      <w:r w:rsidR="00BD22B2">
        <w:instrText xml:space="preserve"> REF _Ref209356361 \r \h </w:instrText>
      </w:r>
      <w:r>
        <w:instrText xml:space="preserve"> \* MERGEFORMAT </w:instrText>
      </w:r>
      <w:r w:rsidR="00BD22B2">
        <w:fldChar w:fldCharType="separate"/>
      </w:r>
      <w:r w:rsidR="00633773">
        <w:t>8</w:t>
      </w:r>
      <w:r w:rsidR="00BD22B2">
        <w:fldChar w:fldCharType="end"/>
      </w:r>
      <w:r w:rsidR="00C500EA" w:rsidRPr="00BD0BB8">
        <w:t xml:space="preserve"> of Annexure A, the number of Ordinary Shares </w:t>
      </w:r>
      <w:r w:rsidR="00AA6B09" w:rsidRPr="00BD0BB8">
        <w:t xml:space="preserve">deemed to be issued in the course of a Dilutive Issuance, </w:t>
      </w:r>
      <w:r w:rsidR="00C500EA" w:rsidRPr="00BD0BB8">
        <w:t>calculated as follows:</w:t>
      </w:r>
    </w:p>
    <w:p w14:paraId="39F01480" w14:textId="0B02863F" w:rsidR="00C500EA" w:rsidRPr="00BD0BB8" w:rsidRDefault="00C500EA" w:rsidP="006A005A">
      <w:pPr>
        <w:pStyle w:val="Heading4"/>
        <w:rPr>
          <w:rFonts w:cs="Arial"/>
          <w:szCs w:val="22"/>
        </w:rPr>
      </w:pPr>
      <w:r w:rsidRPr="00BD0BB8">
        <w:rPr>
          <w:rFonts w:cs="Arial"/>
          <w:szCs w:val="22"/>
        </w:rPr>
        <w:t xml:space="preserve">all Ordinary Shares actually issued; and </w:t>
      </w:r>
    </w:p>
    <w:p w14:paraId="69D660EA" w14:textId="5F6A1CAF" w:rsidR="00C500EA" w:rsidRPr="00BD0BB8" w:rsidRDefault="00C500EA" w:rsidP="006A005A">
      <w:pPr>
        <w:pStyle w:val="Heading4"/>
        <w:rPr>
          <w:rFonts w:cs="Arial"/>
          <w:szCs w:val="22"/>
        </w:rPr>
      </w:pPr>
      <w:r w:rsidRPr="00BD0BB8">
        <w:rPr>
          <w:rFonts w:cs="Arial"/>
          <w:szCs w:val="22"/>
        </w:rPr>
        <w:t xml:space="preserve">direct conversion: for any security issued that is directly convertible into or exercisable for Ordinary Shares, </w:t>
      </w:r>
      <w:r w:rsidR="00AA6B09" w:rsidRPr="00BD0BB8">
        <w:rPr>
          <w:rFonts w:cs="Arial"/>
          <w:szCs w:val="22"/>
        </w:rPr>
        <w:t xml:space="preserve">the maximum number </w:t>
      </w:r>
      <w:r w:rsidRPr="00BD0BB8">
        <w:rPr>
          <w:rFonts w:cs="Arial"/>
          <w:szCs w:val="22"/>
        </w:rPr>
        <w:t xml:space="preserve">of Ordinary Shares issuable upon its full conversion or exercise; and </w:t>
      </w:r>
    </w:p>
    <w:p w14:paraId="6050EE83" w14:textId="00493C34" w:rsidR="00C500EA" w:rsidRPr="00BD0BB8" w:rsidRDefault="00C500EA" w:rsidP="006A005A">
      <w:pPr>
        <w:pStyle w:val="Heading4"/>
        <w:rPr>
          <w:rFonts w:cs="Arial"/>
          <w:szCs w:val="22"/>
        </w:rPr>
      </w:pPr>
      <w:r w:rsidRPr="00BD0BB8">
        <w:rPr>
          <w:rFonts w:cs="Arial"/>
          <w:szCs w:val="22"/>
        </w:rPr>
        <w:t xml:space="preserve">indirect or </w:t>
      </w:r>
      <w:r w:rsidR="006A005A">
        <w:rPr>
          <w:rFonts w:cs="Arial"/>
          <w:szCs w:val="22"/>
        </w:rPr>
        <w:t>"</w:t>
      </w:r>
      <w:r w:rsidRPr="00BD0BB8">
        <w:rPr>
          <w:rFonts w:cs="Arial"/>
          <w:szCs w:val="22"/>
        </w:rPr>
        <w:t>nested</w:t>
      </w:r>
      <w:r w:rsidR="006A005A">
        <w:rPr>
          <w:rFonts w:cs="Arial"/>
          <w:szCs w:val="22"/>
        </w:rPr>
        <w:t>"</w:t>
      </w:r>
      <w:r w:rsidRPr="00BD0BB8">
        <w:rPr>
          <w:rFonts w:cs="Arial"/>
          <w:szCs w:val="22"/>
        </w:rPr>
        <w:t xml:space="preserve"> conversion: for any security issued that is convertible into or exercisable for another convertible security, </w:t>
      </w:r>
      <w:r w:rsidR="00AA6B09" w:rsidRPr="00BD0BB8">
        <w:rPr>
          <w:rFonts w:cs="Arial"/>
          <w:szCs w:val="22"/>
        </w:rPr>
        <w:t xml:space="preserve">the maximum number of Ordinary Shares that are ultimately issuable by </w:t>
      </w:r>
      <w:r w:rsidRPr="00BD0BB8">
        <w:rPr>
          <w:rFonts w:cs="Arial"/>
          <w:szCs w:val="22"/>
        </w:rPr>
        <w:t>follow</w:t>
      </w:r>
      <w:r w:rsidR="00AA6B09" w:rsidRPr="00BD0BB8">
        <w:rPr>
          <w:rFonts w:cs="Arial"/>
          <w:szCs w:val="22"/>
        </w:rPr>
        <w:t>ing</w:t>
      </w:r>
      <w:r w:rsidRPr="00BD0BB8">
        <w:rPr>
          <w:rFonts w:cs="Arial"/>
          <w:szCs w:val="22"/>
        </w:rPr>
        <w:t xml:space="preserve"> the entire chain of conversion</w:t>
      </w:r>
      <w:r w:rsidR="00AA6B09" w:rsidRPr="00BD0BB8">
        <w:rPr>
          <w:rFonts w:cs="Arial"/>
          <w:szCs w:val="22"/>
        </w:rPr>
        <w:t>/s</w:t>
      </w:r>
      <w:r w:rsidRPr="00BD0BB8">
        <w:rPr>
          <w:rFonts w:cs="Arial"/>
          <w:szCs w:val="22"/>
        </w:rPr>
        <w:t xml:space="preserve">; </w:t>
      </w:r>
    </w:p>
    <w:p w14:paraId="69B3123F" w14:textId="6607221F" w:rsidR="002519FA" w:rsidRPr="00BD0BB8" w:rsidRDefault="006A005A" w:rsidP="006A005A">
      <w:pPr>
        <w:pStyle w:val="DA3Third"/>
      </w:pPr>
      <w:r>
        <w:lastRenderedPageBreak/>
        <w:t>"</w:t>
      </w:r>
      <w:r w:rsidR="00BF3AAB" w:rsidRPr="00BD0BB8">
        <w:rPr>
          <w:b/>
        </w:rPr>
        <w:t>Deliver</w:t>
      </w:r>
      <w:r>
        <w:t>"</w:t>
      </w:r>
      <w:r w:rsidR="00BF3AAB" w:rsidRPr="00BD0BB8">
        <w:t xml:space="preserve"> means</w:t>
      </w:r>
      <w:r w:rsidR="00D22DD7" w:rsidRPr="00BD0BB8">
        <w:t>:</w:t>
      </w:r>
    </w:p>
    <w:p w14:paraId="15CFEF41" w14:textId="7A913504" w:rsidR="002519FA" w:rsidRPr="00BD0BB8" w:rsidRDefault="00BF3AAB" w:rsidP="006A005A">
      <w:pPr>
        <w:pStyle w:val="DA4ThirdLevelNumbering"/>
        <w:rPr>
          <w:rFonts w:cs="Arial"/>
          <w:szCs w:val="22"/>
        </w:rPr>
      </w:pPr>
      <w:r w:rsidRPr="00BD0BB8">
        <w:rPr>
          <w:rFonts w:cs="Arial"/>
          <w:szCs w:val="22"/>
        </w:rPr>
        <w:t xml:space="preserve">the manner of </w:t>
      </w:r>
      <w:r w:rsidR="00462C16" w:rsidRPr="00BD0BB8">
        <w:rPr>
          <w:rFonts w:cs="Arial"/>
          <w:szCs w:val="22"/>
        </w:rPr>
        <w:t>deliver</w:t>
      </w:r>
      <w:r w:rsidRPr="00BD0BB8">
        <w:rPr>
          <w:rFonts w:cs="Arial"/>
          <w:szCs w:val="22"/>
        </w:rPr>
        <w:t>y</w:t>
      </w:r>
      <w:r w:rsidR="00462C16" w:rsidRPr="00BD0BB8">
        <w:rPr>
          <w:rFonts w:cs="Arial"/>
          <w:szCs w:val="22"/>
        </w:rPr>
        <w:t xml:space="preserve"> </w:t>
      </w:r>
      <w:r w:rsidRPr="00BD0BB8">
        <w:rPr>
          <w:rFonts w:cs="Arial"/>
          <w:szCs w:val="22"/>
        </w:rPr>
        <w:t>described in</w:t>
      </w:r>
      <w:r w:rsidR="00462C16" w:rsidRPr="00BD0BB8">
        <w:rPr>
          <w:rFonts w:cs="Arial"/>
          <w:szCs w:val="22"/>
        </w:rPr>
        <w:t xml:space="preserve"> clause</w:t>
      </w:r>
      <w:r w:rsidR="00A31A85" w:rsidRPr="00BD0BB8">
        <w:rPr>
          <w:rFonts w:cs="Arial"/>
          <w:szCs w:val="22"/>
        </w:rPr>
        <w:t xml:space="preserve"> </w:t>
      </w:r>
      <w:r w:rsidR="009B06A6" w:rsidRPr="00BD0BB8">
        <w:rPr>
          <w:rFonts w:cs="Arial"/>
          <w:szCs w:val="22"/>
        </w:rPr>
        <w:fldChar w:fldCharType="begin"/>
      </w:r>
      <w:r w:rsidR="009B06A6" w:rsidRPr="00BD0BB8">
        <w:rPr>
          <w:rFonts w:cs="Arial"/>
          <w:szCs w:val="22"/>
        </w:rPr>
        <w:instrText xml:space="preserve"> REF _Ref446590186 \r \h </w:instrText>
      </w:r>
      <w:r w:rsidR="00B71A92" w:rsidRPr="00BD0BB8">
        <w:rPr>
          <w:rFonts w:cs="Arial"/>
          <w:szCs w:val="22"/>
        </w:rPr>
        <w:instrText xml:space="preserve"> \* MERGEFORMAT </w:instrText>
      </w:r>
      <w:r w:rsidR="009B06A6" w:rsidRPr="00BD0BB8">
        <w:rPr>
          <w:rFonts w:cs="Arial"/>
          <w:szCs w:val="22"/>
        </w:rPr>
      </w:r>
      <w:r w:rsidR="009B06A6" w:rsidRPr="00BD0BB8">
        <w:rPr>
          <w:rFonts w:cs="Arial"/>
          <w:szCs w:val="22"/>
        </w:rPr>
        <w:fldChar w:fldCharType="separate"/>
      </w:r>
      <w:r w:rsidR="00633773">
        <w:rPr>
          <w:rFonts w:cs="Arial"/>
          <w:szCs w:val="22"/>
        </w:rPr>
        <w:t>29</w:t>
      </w:r>
      <w:r w:rsidR="009B06A6" w:rsidRPr="00BD0BB8">
        <w:rPr>
          <w:rFonts w:cs="Arial"/>
          <w:szCs w:val="22"/>
        </w:rPr>
        <w:fldChar w:fldCharType="end"/>
      </w:r>
      <w:r w:rsidRPr="00BD0BB8">
        <w:rPr>
          <w:rFonts w:cs="Arial"/>
          <w:szCs w:val="22"/>
        </w:rPr>
        <w:t>;</w:t>
      </w:r>
      <w:r w:rsidR="00650D7A" w:rsidRPr="00BD0BB8">
        <w:rPr>
          <w:rFonts w:cs="Arial"/>
          <w:szCs w:val="22"/>
        </w:rPr>
        <w:t xml:space="preserve"> and</w:t>
      </w:r>
    </w:p>
    <w:p w14:paraId="651A4775" w14:textId="77777777" w:rsidR="00462C16" w:rsidRPr="00BD0BB8" w:rsidRDefault="00BF3AAB" w:rsidP="006A005A">
      <w:pPr>
        <w:pStyle w:val="DA4ThirdLevelNumbering"/>
        <w:rPr>
          <w:rFonts w:cs="Arial"/>
          <w:szCs w:val="22"/>
        </w:rPr>
      </w:pPr>
      <w:r w:rsidRPr="00BD0BB8">
        <w:rPr>
          <w:rFonts w:cs="Arial"/>
          <w:szCs w:val="22"/>
        </w:rPr>
        <w:t xml:space="preserve">as permitted by the </w:t>
      </w:r>
      <w:r w:rsidR="0050570C" w:rsidRPr="00BD0BB8">
        <w:rPr>
          <w:rFonts w:cs="Arial"/>
          <w:szCs w:val="22"/>
        </w:rPr>
        <w:t>Act</w:t>
      </w:r>
      <w:r w:rsidRPr="00BD0BB8">
        <w:rPr>
          <w:rFonts w:cs="Arial"/>
          <w:szCs w:val="22"/>
        </w:rPr>
        <w:t>;</w:t>
      </w:r>
    </w:p>
    <w:p w14:paraId="5D0667BC" w14:textId="626F3005" w:rsidR="00703C01" w:rsidRPr="00BD0BB8" w:rsidRDefault="006A005A" w:rsidP="006A005A">
      <w:pPr>
        <w:pStyle w:val="DA3Third"/>
      </w:pPr>
      <w:r>
        <w:t>"</w:t>
      </w:r>
      <w:r w:rsidR="00703C01">
        <w:rPr>
          <w:b/>
          <w:bCs/>
        </w:rPr>
        <w:t>Effective</w:t>
      </w:r>
      <w:r w:rsidR="00703C01" w:rsidRPr="00703C01">
        <w:rPr>
          <w:b/>
          <w:bCs/>
        </w:rPr>
        <w:t xml:space="preserve"> Date</w:t>
      </w:r>
      <w:r>
        <w:t>"</w:t>
      </w:r>
      <w:r w:rsidR="00703C01" w:rsidRPr="00BD0BB8">
        <w:t xml:space="preserve"> means </w:t>
      </w:r>
      <w:r w:rsidR="00703C01" w:rsidRPr="00AA165F">
        <w:t>[●]</w:t>
      </w:r>
      <w:r w:rsidR="00703C01" w:rsidRPr="00BD0BB8">
        <w:t>;</w:t>
      </w:r>
    </w:p>
    <w:p w14:paraId="3C345235" w14:textId="52B056D9" w:rsidR="00462C16" w:rsidRPr="00BD0BB8" w:rsidRDefault="006A005A" w:rsidP="006A005A">
      <w:pPr>
        <w:pStyle w:val="DA3Third"/>
      </w:pPr>
      <w:r>
        <w:t>"</w:t>
      </w:r>
      <w:r w:rsidR="002519FA" w:rsidRPr="00BD0BB8">
        <w:rPr>
          <w:b/>
        </w:rPr>
        <w:t>Email Address</w:t>
      </w:r>
      <w:r>
        <w:t>"</w:t>
      </w:r>
      <w:r w:rsidR="00BF3AAB" w:rsidRPr="00BD0BB8">
        <w:t xml:space="preserve"> means any email address furnished to the Company by </w:t>
      </w:r>
      <w:r w:rsidR="007869E8" w:rsidRPr="00BD0BB8">
        <w:t xml:space="preserve">a </w:t>
      </w:r>
      <w:r w:rsidR="00BF3AAB" w:rsidRPr="00BD0BB8">
        <w:t>Holder;</w:t>
      </w:r>
    </w:p>
    <w:p w14:paraId="02DC8800" w14:textId="680AA71C" w:rsidR="00AA6B09" w:rsidRPr="00BD0BB8" w:rsidRDefault="006A005A" w:rsidP="006A005A">
      <w:pPr>
        <w:pStyle w:val="Heading3"/>
        <w:keepNext w:val="0"/>
        <w:keepLines w:val="0"/>
        <w:widowControl w:val="0"/>
      </w:pPr>
      <w:r>
        <w:t>"</w:t>
      </w:r>
      <w:r w:rsidR="00AA6B09" w:rsidRPr="00BD0BB8">
        <w:rPr>
          <w:b/>
          <w:bCs/>
        </w:rPr>
        <w:t>Exempted Issuances</w:t>
      </w:r>
      <w:r>
        <w:t>"</w:t>
      </w:r>
      <w:r w:rsidR="00AA6B09" w:rsidRPr="00BD0BB8">
        <w:t xml:space="preserve"> means any of the following:</w:t>
      </w:r>
    </w:p>
    <w:p w14:paraId="615A11BC" w14:textId="77777777" w:rsidR="00AA6B09" w:rsidRPr="00BD0BB8" w:rsidRDefault="00AA6B09" w:rsidP="006A005A">
      <w:pPr>
        <w:pStyle w:val="Heading4"/>
        <w:rPr>
          <w:rFonts w:cs="Arial"/>
          <w:szCs w:val="22"/>
        </w:rPr>
      </w:pPr>
      <w:r w:rsidRPr="00BD0BB8">
        <w:rPr>
          <w:rFonts w:cs="Arial"/>
          <w:szCs w:val="22"/>
        </w:rPr>
        <w:t>Shares issued upon the conversion of any Preference Shares;</w:t>
      </w:r>
    </w:p>
    <w:p w14:paraId="576739CE" w14:textId="0C70C102" w:rsidR="00AA6B09" w:rsidRPr="00BD0BB8" w:rsidRDefault="00AA6B09" w:rsidP="006A005A">
      <w:pPr>
        <w:pStyle w:val="Heading4"/>
        <w:rPr>
          <w:rFonts w:cs="Arial"/>
          <w:szCs w:val="22"/>
        </w:rPr>
      </w:pPr>
      <w:r w:rsidRPr="00BD0BB8">
        <w:rPr>
          <w:rFonts w:cs="Arial"/>
          <w:szCs w:val="22"/>
        </w:rPr>
        <w:t>Shares issued as part of an Employee Share Ownership Plan (ESOP)</w:t>
      </w:r>
      <w:r w:rsidR="00821E9D" w:rsidRPr="00BD0BB8">
        <w:rPr>
          <w:rFonts w:cs="Arial"/>
          <w:szCs w:val="22"/>
        </w:rPr>
        <w:t xml:space="preserve"> approved by the Board including one Preference Share Director</w:t>
      </w:r>
      <w:r w:rsidRPr="00BD0BB8">
        <w:rPr>
          <w:rFonts w:cs="Arial"/>
          <w:szCs w:val="22"/>
        </w:rPr>
        <w:t>;</w:t>
      </w:r>
    </w:p>
    <w:p w14:paraId="2E2182E2" w14:textId="1BE15F46" w:rsidR="00AA6B09" w:rsidRPr="00BD0BB8" w:rsidRDefault="00AA6B09" w:rsidP="006A005A">
      <w:pPr>
        <w:pStyle w:val="Heading4"/>
        <w:rPr>
          <w:rFonts w:cs="Arial"/>
          <w:szCs w:val="22"/>
        </w:rPr>
      </w:pPr>
      <w:r w:rsidRPr="00BD0BB8">
        <w:rPr>
          <w:rFonts w:cs="Arial"/>
          <w:szCs w:val="22"/>
        </w:rPr>
        <w:t xml:space="preserve">Shares issued upon a share split, consolidation, or similar </w:t>
      </w:r>
      <w:r w:rsidR="006A005A">
        <w:rPr>
          <w:rFonts w:cs="Arial"/>
          <w:szCs w:val="22"/>
        </w:rPr>
        <w:t xml:space="preserve">recapitalisation </w:t>
      </w:r>
      <w:r w:rsidR="008C2A37" w:rsidRPr="00BD0BB8">
        <w:rPr>
          <w:rStyle w:val="FootnoteReference"/>
          <w:rFonts w:cs="Arial"/>
          <w:szCs w:val="22"/>
        </w:rPr>
        <w:footnoteReference w:id="2"/>
      </w:r>
      <w:r w:rsidRPr="00BD0BB8">
        <w:rPr>
          <w:rFonts w:cs="Arial"/>
          <w:szCs w:val="22"/>
        </w:rPr>
        <w:t>;</w:t>
      </w:r>
    </w:p>
    <w:p w14:paraId="56A6D2EB" w14:textId="77777777" w:rsidR="00AA6B09" w:rsidRPr="00BD0BB8" w:rsidRDefault="00AA6B09" w:rsidP="006A005A">
      <w:pPr>
        <w:pStyle w:val="Heading4"/>
        <w:rPr>
          <w:rFonts w:cs="Arial"/>
          <w:szCs w:val="22"/>
        </w:rPr>
      </w:pPr>
      <w:r w:rsidRPr="00BD0BB8">
        <w:rPr>
          <w:rFonts w:cs="Arial"/>
          <w:szCs w:val="22"/>
        </w:rPr>
        <w:t>Shares issued as acquisition consideration in a bona fide merger or acquisition approved by the Board;</w:t>
      </w:r>
    </w:p>
    <w:p w14:paraId="58F671C3" w14:textId="77777777" w:rsidR="00AA6B09" w:rsidRPr="00BD0BB8" w:rsidRDefault="00AA6B09" w:rsidP="006A005A">
      <w:pPr>
        <w:pStyle w:val="Heading4"/>
        <w:rPr>
          <w:rFonts w:cs="Arial"/>
          <w:szCs w:val="22"/>
        </w:rPr>
      </w:pPr>
      <w:r w:rsidRPr="00BD0BB8">
        <w:rPr>
          <w:rFonts w:cs="Arial"/>
          <w:szCs w:val="22"/>
        </w:rPr>
        <w:t>Shares issued in a Qualified Public Offering; and</w:t>
      </w:r>
    </w:p>
    <w:p w14:paraId="0177315E" w14:textId="77777777" w:rsidR="00AA6B09" w:rsidRPr="00BD0BB8" w:rsidRDefault="00AA6B09" w:rsidP="006A005A">
      <w:pPr>
        <w:pStyle w:val="Heading4"/>
        <w:rPr>
          <w:rFonts w:cs="Arial"/>
          <w:szCs w:val="22"/>
        </w:rPr>
      </w:pPr>
      <w:r w:rsidRPr="00BD0BB8">
        <w:rPr>
          <w:rFonts w:cs="Arial"/>
          <w:szCs w:val="22"/>
        </w:rPr>
        <w:t>Shares issued upon the exercise or conversion of any security, provided the issuance of that security was either not a Dilutive Issuance or was itself an Exempted Issuance.</w:t>
      </w:r>
    </w:p>
    <w:p w14:paraId="3E429B03" w14:textId="53E43E70" w:rsidR="009B7F0D" w:rsidRPr="00BD0BB8" w:rsidRDefault="006A005A" w:rsidP="006A005A">
      <w:pPr>
        <w:pStyle w:val="DA3Third"/>
      </w:pPr>
      <w:r>
        <w:t>"</w:t>
      </w:r>
      <w:r w:rsidR="009B7F0D" w:rsidRPr="00BD0BB8">
        <w:rPr>
          <w:b/>
        </w:rPr>
        <w:t>Fair Market</w:t>
      </w:r>
      <w:r w:rsidR="009B7F0D" w:rsidRPr="00BD0BB8">
        <w:t xml:space="preserve"> </w:t>
      </w:r>
      <w:r w:rsidR="009B7F0D" w:rsidRPr="00BD0BB8">
        <w:rPr>
          <w:b/>
        </w:rPr>
        <w:t>Value</w:t>
      </w:r>
      <w:r>
        <w:t>"</w:t>
      </w:r>
      <w:r w:rsidR="009B7F0D" w:rsidRPr="00BD0BB8">
        <w:t xml:space="preserve"> means</w:t>
      </w:r>
      <w:r w:rsidR="00AD5D04" w:rsidRPr="00BD0BB8">
        <w:t>, with reference to</w:t>
      </w:r>
      <w:r w:rsidR="009B7F0D" w:rsidRPr="00BD0BB8">
        <w:t xml:space="preserve"> the value of the Company</w:t>
      </w:r>
      <w:r w:rsidR="00AD5D04" w:rsidRPr="00BD0BB8">
        <w:t>, the measure of the value of the Company</w:t>
      </w:r>
      <w:r w:rsidR="009B7F0D" w:rsidRPr="00BD0BB8">
        <w:t xml:space="preserve"> and all its Affiliates, in each case being calculated as follows:</w:t>
      </w:r>
    </w:p>
    <w:p w14:paraId="1C41A12D" w14:textId="03F57861" w:rsidR="009B7F0D" w:rsidRPr="00BD0BB8" w:rsidRDefault="009B7F0D" w:rsidP="006A005A">
      <w:pPr>
        <w:pStyle w:val="DA4ThirdLevelNumbering"/>
        <w:rPr>
          <w:rFonts w:cs="Arial"/>
          <w:szCs w:val="22"/>
        </w:rPr>
      </w:pPr>
      <w:r w:rsidRPr="00BD0BB8">
        <w:rPr>
          <w:rFonts w:cs="Arial"/>
          <w:szCs w:val="22"/>
        </w:rPr>
        <w:t xml:space="preserve">the annual valuation determined by the Board (including the </w:t>
      </w:r>
      <w:r w:rsidR="00A73111" w:rsidRPr="00BD0BB8">
        <w:rPr>
          <w:rFonts w:cs="Arial"/>
          <w:szCs w:val="22"/>
        </w:rPr>
        <w:t>Preference Share Director</w:t>
      </w:r>
      <w:r w:rsidRPr="00BD0BB8">
        <w:rPr>
          <w:rFonts w:cs="Arial"/>
          <w:szCs w:val="22"/>
        </w:rPr>
        <w:t xml:space="preserve">) in in accordance with the International Private Equity and Venture Capital Valuation (IPEV) Guidelines (the </w:t>
      </w:r>
      <w:r w:rsidR="006A005A">
        <w:rPr>
          <w:rFonts w:cs="Arial"/>
          <w:szCs w:val="22"/>
        </w:rPr>
        <w:t>"</w:t>
      </w:r>
      <w:r w:rsidRPr="00BD0BB8">
        <w:rPr>
          <w:rFonts w:cs="Arial"/>
          <w:b/>
          <w:szCs w:val="22"/>
        </w:rPr>
        <w:t>IPEV Guidelines</w:t>
      </w:r>
      <w:r w:rsidR="006A005A">
        <w:rPr>
          <w:rFonts w:cs="Arial"/>
          <w:szCs w:val="22"/>
        </w:rPr>
        <w:t>"</w:t>
      </w:r>
      <w:r w:rsidRPr="00BD0BB8">
        <w:rPr>
          <w:rFonts w:cs="Arial"/>
          <w:szCs w:val="22"/>
        </w:rPr>
        <w:t>); or</w:t>
      </w:r>
    </w:p>
    <w:p w14:paraId="1CD10215" w14:textId="2BDB2329" w:rsidR="009B7F0D" w:rsidRPr="00BD0BB8" w:rsidRDefault="009B7F0D" w:rsidP="006A005A">
      <w:pPr>
        <w:pStyle w:val="DA4ThirdLevelNumbering"/>
        <w:rPr>
          <w:rFonts w:cs="Arial"/>
          <w:szCs w:val="22"/>
        </w:rPr>
      </w:pPr>
      <w:r w:rsidRPr="00BD0BB8">
        <w:rPr>
          <w:rFonts w:cs="Arial"/>
          <w:szCs w:val="22"/>
        </w:rPr>
        <w:lastRenderedPageBreak/>
        <w:t>where the board cannot determine or agree to determine the value, then the value will be decided by an independent valuer at the request of a majority of the Directors</w:t>
      </w:r>
      <w:r w:rsidR="00DE6F71" w:rsidRPr="00BD0BB8">
        <w:rPr>
          <w:rFonts w:cs="Arial"/>
          <w:szCs w:val="22"/>
        </w:rPr>
        <w:t>, in accordance with</w:t>
      </w:r>
      <w:r w:rsidRPr="00BD0BB8">
        <w:rPr>
          <w:rFonts w:cs="Arial"/>
          <w:szCs w:val="22"/>
        </w:rPr>
        <w:t xml:space="preserve"> the IPEV Guidelines – who shall act as a</w:t>
      </w:r>
      <w:r w:rsidR="000E1C4D" w:rsidRPr="00BD0BB8">
        <w:rPr>
          <w:rFonts w:cs="Arial"/>
          <w:szCs w:val="22"/>
        </w:rPr>
        <w:t xml:space="preserve">n expert </w:t>
      </w:r>
      <w:r w:rsidRPr="00BD0BB8">
        <w:rPr>
          <w:rFonts w:cs="Arial"/>
          <w:szCs w:val="22"/>
        </w:rPr>
        <w:t>and not as an arbitrator,  and in which case:</w:t>
      </w:r>
    </w:p>
    <w:p w14:paraId="1949A517" w14:textId="77777777" w:rsidR="009B7F0D" w:rsidRPr="00BD0BB8" w:rsidRDefault="009B7F0D" w:rsidP="006A005A">
      <w:pPr>
        <w:pStyle w:val="DA5FifthLevelNumbering"/>
        <w:widowControl w:val="0"/>
      </w:pPr>
      <w:r w:rsidRPr="00BD0BB8">
        <w:t>the determination of the valuer shall (in the absence of manifest error) be final and binding;</w:t>
      </w:r>
    </w:p>
    <w:p w14:paraId="394F2571" w14:textId="77777777" w:rsidR="009B7F0D" w:rsidRPr="00BD0BB8" w:rsidRDefault="009B7F0D" w:rsidP="006A005A">
      <w:pPr>
        <w:pStyle w:val="DA5FifthLevelNumbering"/>
        <w:widowControl w:val="0"/>
      </w:pPr>
      <w:r w:rsidRPr="00BD0BB8">
        <w:t>the valuers’ charges shall be paid by the Company;</w:t>
      </w:r>
    </w:p>
    <w:p w14:paraId="2C5C41D5" w14:textId="77777777" w:rsidR="009B7F0D" w:rsidRPr="00BD0BB8" w:rsidRDefault="009B7F0D" w:rsidP="006A005A">
      <w:pPr>
        <w:pStyle w:val="DA5FifthLevelNumbering"/>
        <w:widowControl w:val="0"/>
      </w:pPr>
      <w:r w:rsidRPr="00BD0BB8">
        <w:t>the valuer shall consult with the relevant Parties (provided that the extent of the valuer's consultation shall be in his or its sole discretion) prior to rendering a determination; and</w:t>
      </w:r>
    </w:p>
    <w:p w14:paraId="6A5663CA" w14:textId="77777777" w:rsidR="009B7F0D" w:rsidRPr="00BD0BB8" w:rsidRDefault="009B7F0D" w:rsidP="006A005A">
      <w:pPr>
        <w:pStyle w:val="DA5FifthLevelNumbering"/>
        <w:widowControl w:val="0"/>
      </w:pPr>
      <w:r w:rsidRPr="00BD0BB8">
        <w:t>having regard to the sensitivity of the valuation process, the valuer shall be entitled to take advice from any Person considered by it to have valuer knowledge with reference to the matter in question;</w:t>
      </w:r>
    </w:p>
    <w:p w14:paraId="0F3F2D4E" w14:textId="619A7CAF" w:rsidR="009B7F0D" w:rsidRPr="00BD0BB8" w:rsidRDefault="006A005A" w:rsidP="006A005A">
      <w:pPr>
        <w:pStyle w:val="DA3Third"/>
      </w:pPr>
      <w:r>
        <w:t>"</w:t>
      </w:r>
      <w:r w:rsidR="009B7F0D" w:rsidRPr="00BD0BB8">
        <w:rPr>
          <w:b/>
        </w:rPr>
        <w:t>Fully-Diluted</w:t>
      </w:r>
      <w:r>
        <w:t>"</w:t>
      </w:r>
      <w:r w:rsidR="009B7F0D" w:rsidRPr="00BD0BB8">
        <w:t xml:space="preserve"> means, when referencing any Shareholder’s shareholding in the Company, the total number of Ordinary Shares of the Company that will be held by such Shareholder </w:t>
      </w:r>
      <w:r w:rsidR="00AA6B09" w:rsidRPr="00BD0BB8">
        <w:t>as a percentage of the Fully-Diluted Share Capital</w:t>
      </w:r>
      <w:r w:rsidR="009B7F0D" w:rsidRPr="00BD0BB8">
        <w:t xml:space="preserve">; </w:t>
      </w:r>
    </w:p>
    <w:p w14:paraId="5C0EADC5" w14:textId="42C8E073" w:rsidR="00594AC2" w:rsidRPr="00BD0BB8" w:rsidRDefault="006A005A" w:rsidP="006A005A">
      <w:pPr>
        <w:pStyle w:val="DA3Third"/>
      </w:pPr>
      <w:r>
        <w:t>"</w:t>
      </w:r>
      <w:r w:rsidR="00594AC2" w:rsidRPr="00BD0BB8">
        <w:rPr>
          <w:b/>
          <w:bCs/>
        </w:rPr>
        <w:t>Fully-Diluted Share Capital</w:t>
      </w:r>
      <w:r>
        <w:t>"</w:t>
      </w:r>
      <w:r w:rsidR="00594AC2" w:rsidRPr="00BD0BB8">
        <w:t xml:space="preserve"> means, at any given time, the total number of Ordinary Shares that would be </w:t>
      </w:r>
      <w:r w:rsidR="00C33762">
        <w:t>issued</w:t>
      </w:r>
      <w:r w:rsidR="00C33762" w:rsidRPr="00BD0BB8">
        <w:t xml:space="preserve"> </w:t>
      </w:r>
      <w:r w:rsidR="00594AC2" w:rsidRPr="00BD0BB8">
        <w:t>if all of the following were to occur:</w:t>
      </w:r>
    </w:p>
    <w:p w14:paraId="58D9BFE1" w14:textId="77777777" w:rsidR="00594AC2" w:rsidRPr="00BD0BB8" w:rsidRDefault="00594AC2" w:rsidP="006A005A">
      <w:pPr>
        <w:pStyle w:val="Heading4"/>
        <w:rPr>
          <w:rFonts w:cs="Arial"/>
          <w:szCs w:val="22"/>
        </w:rPr>
      </w:pPr>
      <w:r w:rsidRPr="00BD0BB8">
        <w:rPr>
          <w:rFonts w:cs="Arial"/>
          <w:szCs w:val="22"/>
        </w:rPr>
        <w:t>the conversion of all issued Preference Shares;</w:t>
      </w:r>
    </w:p>
    <w:p w14:paraId="6EB253B7" w14:textId="52A2FE4C" w:rsidR="00594AC2" w:rsidRPr="00BD0BB8" w:rsidRDefault="00594AC2" w:rsidP="006A005A">
      <w:pPr>
        <w:pStyle w:val="Heading4"/>
        <w:rPr>
          <w:rFonts w:cs="Arial"/>
          <w:szCs w:val="22"/>
        </w:rPr>
      </w:pPr>
      <w:r w:rsidRPr="00BD0BB8">
        <w:rPr>
          <w:rFonts w:cs="Arial"/>
          <w:szCs w:val="22"/>
        </w:rPr>
        <w:t xml:space="preserve">the exercise of all </w:t>
      </w:r>
      <w:r w:rsidR="00C33762">
        <w:rPr>
          <w:rFonts w:cs="Arial"/>
          <w:szCs w:val="22"/>
        </w:rPr>
        <w:t>conversion</w:t>
      </w:r>
      <w:r w:rsidRPr="00BD0BB8">
        <w:rPr>
          <w:rFonts w:cs="Arial"/>
          <w:szCs w:val="22"/>
        </w:rPr>
        <w:t xml:space="preserve"> options, warrants, and other rights to subscribe for Ordinary Shares;</w:t>
      </w:r>
    </w:p>
    <w:p w14:paraId="736B3D75" w14:textId="6485DF7A" w:rsidR="00594AC2" w:rsidRPr="00BD0BB8" w:rsidRDefault="00594AC2" w:rsidP="006A005A">
      <w:pPr>
        <w:pStyle w:val="Heading4"/>
        <w:rPr>
          <w:rFonts w:cs="Arial"/>
          <w:szCs w:val="22"/>
        </w:rPr>
      </w:pPr>
      <w:r w:rsidRPr="00BD0BB8">
        <w:rPr>
          <w:rFonts w:cs="Arial"/>
          <w:szCs w:val="22"/>
        </w:rPr>
        <w:t xml:space="preserve">the conversion or exchange of all </w:t>
      </w:r>
      <w:r w:rsidR="00C33762">
        <w:rPr>
          <w:rFonts w:cs="Arial"/>
          <w:szCs w:val="22"/>
        </w:rPr>
        <w:t>convertible</w:t>
      </w:r>
      <w:r w:rsidRPr="00BD0BB8">
        <w:rPr>
          <w:rFonts w:cs="Arial"/>
          <w:szCs w:val="22"/>
        </w:rPr>
        <w:t xml:space="preserve"> securities that are convertible into or exchangeable for Ordinary Shares; and</w:t>
      </w:r>
    </w:p>
    <w:p w14:paraId="2E8A676F" w14:textId="2D3E4310" w:rsidR="00594AC2" w:rsidRPr="00BD0BB8" w:rsidRDefault="00594AC2" w:rsidP="006A005A">
      <w:pPr>
        <w:pStyle w:val="Heading4"/>
        <w:rPr>
          <w:rFonts w:cs="Arial"/>
          <w:szCs w:val="22"/>
        </w:rPr>
      </w:pPr>
      <w:r w:rsidRPr="00BD0BB8">
        <w:rPr>
          <w:rFonts w:cs="Arial"/>
          <w:szCs w:val="22"/>
        </w:rPr>
        <w:t xml:space="preserve">the full exercise, conversion, and/or exchange of any </w:t>
      </w:r>
      <w:r w:rsidR="006A005A">
        <w:rPr>
          <w:rFonts w:cs="Arial"/>
          <w:szCs w:val="22"/>
        </w:rPr>
        <w:t>"</w:t>
      </w:r>
      <w:r w:rsidRPr="00BD0BB8">
        <w:rPr>
          <w:rFonts w:cs="Arial"/>
          <w:szCs w:val="22"/>
        </w:rPr>
        <w:t>nested</w:t>
      </w:r>
      <w:r w:rsidR="006A005A">
        <w:rPr>
          <w:rFonts w:cs="Arial"/>
          <w:szCs w:val="22"/>
        </w:rPr>
        <w:t>"</w:t>
      </w:r>
      <w:r w:rsidRPr="00BD0BB8">
        <w:rPr>
          <w:rFonts w:cs="Arial"/>
          <w:szCs w:val="22"/>
        </w:rPr>
        <w:t xml:space="preserve"> securities, assuming a chain of conversion through to their final </w:t>
      </w:r>
      <w:r w:rsidRPr="00BD0BB8">
        <w:rPr>
          <w:rFonts w:cs="Arial"/>
          <w:szCs w:val="22"/>
        </w:rPr>
        <w:lastRenderedPageBreak/>
        <w:t xml:space="preserve">form as Ordinary Shares (for example, a warrant to subscribe for a convertible note would be deemed exercised and the resulting note immediately converted); </w:t>
      </w:r>
    </w:p>
    <w:p w14:paraId="05B9B28D" w14:textId="6EC022CC" w:rsidR="00462C16" w:rsidRPr="00BD0BB8" w:rsidRDefault="006A005A" w:rsidP="006A005A">
      <w:pPr>
        <w:pStyle w:val="DA3Third"/>
      </w:pPr>
      <w:r>
        <w:t>"</w:t>
      </w:r>
      <w:r w:rsidR="00BF3AAB" w:rsidRPr="00BD0BB8">
        <w:rPr>
          <w:b/>
        </w:rPr>
        <w:t>Holders</w:t>
      </w:r>
      <w:r>
        <w:t>"</w:t>
      </w:r>
      <w:r w:rsidR="00727250" w:rsidRPr="00BD0BB8">
        <w:t xml:space="preserve"> or </w:t>
      </w:r>
      <w:r>
        <w:t>"</w:t>
      </w:r>
      <w:r w:rsidR="00727250" w:rsidRPr="00BD0BB8">
        <w:rPr>
          <w:b/>
        </w:rPr>
        <w:t>Shareholders</w:t>
      </w:r>
      <w:r>
        <w:rPr>
          <w:b/>
        </w:rPr>
        <w:t>"</w:t>
      </w:r>
      <w:r w:rsidR="00BF3AAB" w:rsidRPr="00BD0BB8">
        <w:t xml:space="preserve"> means registered holders of Securities;</w:t>
      </w:r>
    </w:p>
    <w:p w14:paraId="40037AF4" w14:textId="45BCFA2C" w:rsidR="009B7F0D" w:rsidRPr="00BD0BB8" w:rsidRDefault="006A005A" w:rsidP="006A005A">
      <w:pPr>
        <w:pStyle w:val="DA3Third"/>
      </w:pPr>
      <w:r>
        <w:t>"</w:t>
      </w:r>
      <w:r w:rsidR="009B7F0D" w:rsidRPr="00BD0BB8">
        <w:rPr>
          <w:b/>
        </w:rPr>
        <w:t>Ineligible</w:t>
      </w:r>
      <w:r>
        <w:t>"</w:t>
      </w:r>
      <w:r w:rsidR="009B7F0D" w:rsidRPr="00BD0BB8">
        <w:rPr>
          <w:b/>
        </w:rPr>
        <w:t xml:space="preserve"> </w:t>
      </w:r>
      <w:r w:rsidR="009B7F0D" w:rsidRPr="00BD0BB8">
        <w:t>or</w:t>
      </w:r>
      <w:r w:rsidR="009B7F0D" w:rsidRPr="00BD0BB8">
        <w:rPr>
          <w:b/>
        </w:rPr>
        <w:t xml:space="preserve"> </w:t>
      </w:r>
      <w:r>
        <w:t>"</w:t>
      </w:r>
      <w:r w:rsidR="009B7F0D" w:rsidRPr="00BD0BB8">
        <w:rPr>
          <w:b/>
        </w:rPr>
        <w:t>Disqualified</w:t>
      </w:r>
      <w:r>
        <w:t>"</w:t>
      </w:r>
      <w:r w:rsidR="009B7F0D" w:rsidRPr="00BD0BB8">
        <w:t xml:space="preserve"> means any person who is ineligible or disqualified in terms of the Act. For the avoidance of doubt, the definition </w:t>
      </w:r>
      <w:r>
        <w:t>"</w:t>
      </w:r>
      <w:r w:rsidR="009B7F0D" w:rsidRPr="00BD0BB8">
        <w:rPr>
          <w:b/>
        </w:rPr>
        <w:t>Ineligible</w:t>
      </w:r>
      <w:r>
        <w:t>"</w:t>
      </w:r>
      <w:r w:rsidR="009B7F0D" w:rsidRPr="00BD0BB8">
        <w:t xml:space="preserve"> or </w:t>
      </w:r>
      <w:r>
        <w:t>"</w:t>
      </w:r>
      <w:r w:rsidR="009B7F0D" w:rsidRPr="00BD0BB8">
        <w:rPr>
          <w:b/>
        </w:rPr>
        <w:t>Disqualified</w:t>
      </w:r>
      <w:r>
        <w:t>"</w:t>
      </w:r>
      <w:r w:rsidR="009B7F0D" w:rsidRPr="00BD0BB8">
        <w:t xml:space="preserve"> shall apply to Directors, members of Board committees and Prescribed Officers;</w:t>
      </w:r>
    </w:p>
    <w:p w14:paraId="6090B12A" w14:textId="34C24285" w:rsidR="00727250" w:rsidRPr="00BD0BB8" w:rsidRDefault="006A005A" w:rsidP="006A005A">
      <w:pPr>
        <w:pStyle w:val="DA3Third"/>
      </w:pPr>
      <w:r>
        <w:t>"</w:t>
      </w:r>
      <w:r w:rsidR="00727250" w:rsidRPr="00BD0BB8">
        <w:rPr>
          <w:b/>
        </w:rPr>
        <w:t>Intellectual Property</w:t>
      </w:r>
      <w:r>
        <w:t>"</w:t>
      </w:r>
      <w:r w:rsidR="00727250" w:rsidRPr="00BD0BB8">
        <w:t xml:space="preserve"> means, without limitation, copyrights, patents, trade marks, designs or models, trade patterns, trade names and any other type of intellectual property and any rights to them (including applications for and rights to obtain or use same) which are used and/or held, whether or not currently used, by the Company and any other rights to intellectual property;</w:t>
      </w:r>
    </w:p>
    <w:p w14:paraId="7DDBE2F4" w14:textId="1F043897" w:rsidR="009B7F0D" w:rsidRDefault="006A005A" w:rsidP="00B10290">
      <w:pPr>
        <w:pStyle w:val="DA3Third"/>
      </w:pPr>
      <w:r>
        <w:t>"</w:t>
      </w:r>
      <w:r w:rsidR="00B54988" w:rsidRPr="00BD0BB8">
        <w:rPr>
          <w:b/>
        </w:rPr>
        <w:t>Investor</w:t>
      </w:r>
      <w:r>
        <w:t>"</w:t>
      </w:r>
      <w:r w:rsidR="009B7F0D" w:rsidRPr="00BD0BB8">
        <w:t xml:space="preserve"> or</w:t>
      </w:r>
      <w:r w:rsidR="00B54988" w:rsidRPr="00BD0BB8">
        <w:t xml:space="preserve"> </w:t>
      </w:r>
      <w:r>
        <w:t>"</w:t>
      </w:r>
      <w:r w:rsidR="00A55816" w:rsidRPr="00BD22B2">
        <w:t xml:space="preserve"> </w:t>
      </w:r>
      <w:r w:rsidR="00B54988" w:rsidRPr="00BD22B2">
        <w:t>[</w:t>
      </w:r>
      <w:r w:rsidR="00B54988" w:rsidRPr="00BD22B2">
        <w:rPr>
          <w:b/>
          <w:bCs/>
        </w:rPr>
        <w:t>Investor Name</w:t>
      </w:r>
      <w:r w:rsidR="00B54988" w:rsidRPr="00BD22B2">
        <w:t>]</w:t>
      </w:r>
      <w:r w:rsidR="00A55816" w:rsidRPr="00BD22B2">
        <w:t xml:space="preserve"> </w:t>
      </w:r>
      <w:r>
        <w:t>"</w:t>
      </w:r>
      <w:r w:rsidR="009B7F0D" w:rsidRPr="00BD22B2">
        <w:t xml:space="preserve"> means </w:t>
      </w:r>
      <w:r w:rsidR="00B10290" w:rsidRPr="00B10290">
        <w:t>[●]</w:t>
      </w:r>
      <w:r w:rsidR="009B7F0D" w:rsidRPr="00BD22B2">
        <w:t xml:space="preserve"> Proprietary Limited (Company registration number </w:t>
      </w:r>
      <w:r w:rsidR="00B10290" w:rsidRPr="00B10290">
        <w:rPr>
          <w:lang w:val="en-GB"/>
        </w:rPr>
        <w:t>[●]</w:t>
      </w:r>
      <w:r w:rsidR="009B7F0D" w:rsidRPr="00BD22B2">
        <w:t xml:space="preserve">), a private company registered and incorporated under the Companies Act, of </w:t>
      </w:r>
      <w:r w:rsidR="00B10290" w:rsidRPr="00B10290">
        <w:rPr>
          <w:lang w:val="en-GB"/>
        </w:rPr>
        <w:t>[●]</w:t>
      </w:r>
      <w:r w:rsidR="009B7F0D" w:rsidRPr="00BD22B2">
        <w:t xml:space="preserve">; email: </w:t>
      </w:r>
      <w:r w:rsidR="00B10290" w:rsidRPr="00B10290">
        <w:t>[●]</w:t>
      </w:r>
      <w:r w:rsidR="009B7F0D" w:rsidRPr="00BD22B2">
        <w:t xml:space="preserve">; </w:t>
      </w:r>
    </w:p>
    <w:p w14:paraId="779EB362" w14:textId="26EE2E05" w:rsidR="00727250" w:rsidRPr="00BD0BB8" w:rsidRDefault="006A005A" w:rsidP="006A005A">
      <w:pPr>
        <w:pStyle w:val="DA3Third"/>
      </w:pPr>
      <w:bookmarkStart w:id="32" w:name="_Hlk213947156"/>
      <w:r>
        <w:t>"</w:t>
      </w:r>
      <w:r w:rsidR="00727250" w:rsidRPr="00BD0BB8">
        <w:rPr>
          <w:b/>
        </w:rPr>
        <w:t>Liquid</w:t>
      </w:r>
      <w:r w:rsidR="00A27CC2" w:rsidRPr="00BD0BB8">
        <w:rPr>
          <w:b/>
        </w:rPr>
        <w:t>ity</w:t>
      </w:r>
      <w:r w:rsidR="00727250" w:rsidRPr="00BD0BB8">
        <w:rPr>
          <w:b/>
        </w:rPr>
        <w:t xml:space="preserve"> Event</w:t>
      </w:r>
      <w:r>
        <w:t>"</w:t>
      </w:r>
      <w:r w:rsidR="00727250" w:rsidRPr="00BD0BB8">
        <w:t xml:space="preserve"> means, in relation to the Company, each of the following events:</w:t>
      </w:r>
    </w:p>
    <w:p w14:paraId="1E54A37A" w14:textId="77777777" w:rsidR="00727250" w:rsidRPr="00BD0BB8" w:rsidRDefault="00727250" w:rsidP="006A005A">
      <w:pPr>
        <w:pStyle w:val="DA4ThirdLevelNumbering"/>
        <w:rPr>
          <w:rFonts w:cs="Arial"/>
          <w:szCs w:val="22"/>
        </w:rPr>
      </w:pPr>
      <w:r w:rsidRPr="00BD0BB8">
        <w:rPr>
          <w:rFonts w:cs="Arial"/>
          <w:szCs w:val="22"/>
        </w:rPr>
        <w:t>the liquidation, dissolution or winding up of the Company, either voluntarily or involuntarily;</w:t>
      </w:r>
    </w:p>
    <w:p w14:paraId="30102FF3" w14:textId="69331211" w:rsidR="00727250" w:rsidRPr="00BD0BB8" w:rsidRDefault="00727250" w:rsidP="006A005A">
      <w:pPr>
        <w:pStyle w:val="DA4ThirdLevelNumbering"/>
        <w:rPr>
          <w:rFonts w:cs="Arial"/>
          <w:szCs w:val="22"/>
        </w:rPr>
      </w:pPr>
      <w:r w:rsidRPr="00BD0BB8">
        <w:rPr>
          <w:rFonts w:cs="Arial"/>
          <w:szCs w:val="22"/>
        </w:rPr>
        <w:t>a merger, consolidation or other reorgani</w:t>
      </w:r>
      <w:r w:rsidR="0020169E">
        <w:rPr>
          <w:rFonts w:cs="Arial"/>
          <w:szCs w:val="22"/>
        </w:rPr>
        <w:t>s</w:t>
      </w:r>
      <w:r w:rsidRPr="00BD0BB8">
        <w:rPr>
          <w:rFonts w:cs="Arial"/>
          <w:szCs w:val="22"/>
        </w:rPr>
        <w:t xml:space="preserve">ation approved by the Shareholders of the Company, unless securities representing more than 50% (fifty percent) of the total combined voting power of the voting securities of the successor company are immediately thereafter beneficially owned, directly or indirectly and in substantially the same proportion, by the persons who beneficially owned the Company's </w:t>
      </w:r>
      <w:r w:rsidR="00C33762">
        <w:rPr>
          <w:rFonts w:cs="Arial"/>
          <w:szCs w:val="22"/>
        </w:rPr>
        <w:t>issued</w:t>
      </w:r>
      <w:r w:rsidR="00C33762" w:rsidRPr="00BD0BB8">
        <w:rPr>
          <w:rFonts w:cs="Arial"/>
          <w:szCs w:val="22"/>
        </w:rPr>
        <w:t xml:space="preserve"> </w:t>
      </w:r>
      <w:r w:rsidRPr="00BD0BB8">
        <w:rPr>
          <w:rFonts w:cs="Arial"/>
          <w:szCs w:val="22"/>
        </w:rPr>
        <w:t>voting securities immediately prior to such transaction, or</w:t>
      </w:r>
    </w:p>
    <w:p w14:paraId="780C52B1" w14:textId="2D4224F6" w:rsidR="00727250" w:rsidRPr="00BD0BB8" w:rsidRDefault="00727250" w:rsidP="006A005A">
      <w:pPr>
        <w:pStyle w:val="DA4ThirdLevelNumbering"/>
        <w:rPr>
          <w:rFonts w:cs="Arial"/>
          <w:szCs w:val="22"/>
        </w:rPr>
      </w:pPr>
      <w:r w:rsidRPr="00BD0BB8">
        <w:rPr>
          <w:rFonts w:cs="Arial"/>
          <w:szCs w:val="22"/>
        </w:rPr>
        <w:t xml:space="preserve">the acquisition, directly or indirectly by any Person or related group of persons (other than the Company itself or a Person that directly or indirectly controls, is controlled by, or is under common control with, the Company at the Effective Date), of beneficial ownership of securities possessing more than 50% (fifty percent) of the total </w:t>
      </w:r>
      <w:r w:rsidRPr="00BD0BB8">
        <w:rPr>
          <w:rFonts w:cs="Arial"/>
          <w:szCs w:val="22"/>
        </w:rPr>
        <w:lastRenderedPageBreak/>
        <w:t xml:space="preserve">combined voting power of the Company's </w:t>
      </w:r>
      <w:r w:rsidR="00C33762">
        <w:rPr>
          <w:rFonts w:cs="Arial"/>
          <w:szCs w:val="22"/>
        </w:rPr>
        <w:t>issued</w:t>
      </w:r>
      <w:r w:rsidRPr="00BD0BB8">
        <w:rPr>
          <w:rFonts w:cs="Arial"/>
          <w:szCs w:val="22"/>
        </w:rPr>
        <w:t xml:space="preserve"> securities pursuant to an offer made directly to the Company's Shareholders; or</w:t>
      </w:r>
    </w:p>
    <w:p w14:paraId="0BCD5334" w14:textId="64F64AB0" w:rsidR="00BE237F" w:rsidRPr="00BD0BB8" w:rsidRDefault="00727250" w:rsidP="006A005A">
      <w:pPr>
        <w:pStyle w:val="DA4ThirdLevelNumbering"/>
        <w:rPr>
          <w:rFonts w:cs="Arial"/>
          <w:szCs w:val="22"/>
        </w:rPr>
      </w:pPr>
      <w:r w:rsidRPr="00BD0BB8">
        <w:rPr>
          <w:rFonts w:cs="Arial"/>
          <w:szCs w:val="22"/>
        </w:rPr>
        <w:t xml:space="preserve">a sale, transfer, exclusive license or other disposition (but not including a transfer or disposition by pledge or mortgage to a bona fide lender) of all or substantially </w:t>
      </w:r>
      <w:r w:rsidR="008D78EF" w:rsidRPr="00BD0BB8">
        <w:rPr>
          <w:rFonts w:cs="Arial"/>
          <w:szCs w:val="22"/>
        </w:rPr>
        <w:t>all</w:t>
      </w:r>
      <w:r w:rsidRPr="00BD0BB8">
        <w:rPr>
          <w:rFonts w:cs="Arial"/>
          <w:szCs w:val="22"/>
        </w:rPr>
        <w:t xml:space="preserve"> the </w:t>
      </w:r>
      <w:r w:rsidR="008D78EF" w:rsidRPr="00BD0BB8">
        <w:rPr>
          <w:rFonts w:cs="Arial"/>
          <w:szCs w:val="22"/>
        </w:rPr>
        <w:t xml:space="preserve">business or </w:t>
      </w:r>
      <w:r w:rsidRPr="00BD0BB8">
        <w:rPr>
          <w:rFonts w:cs="Arial"/>
          <w:szCs w:val="22"/>
        </w:rPr>
        <w:t>assets of the Company</w:t>
      </w:r>
      <w:r w:rsidR="008D78EF" w:rsidRPr="00BD0BB8">
        <w:rPr>
          <w:rStyle w:val="FootnoteReference"/>
          <w:rFonts w:cs="Arial"/>
          <w:szCs w:val="22"/>
        </w:rPr>
        <w:footnoteReference w:id="3"/>
      </w:r>
      <w:r w:rsidR="008D78EF" w:rsidRPr="00BD0BB8">
        <w:rPr>
          <w:rFonts w:cs="Arial"/>
          <w:szCs w:val="22"/>
        </w:rPr>
        <w:t>;</w:t>
      </w:r>
    </w:p>
    <w:p w14:paraId="5EFDB1F4" w14:textId="6154D216" w:rsidR="00727250" w:rsidRPr="00BD0BB8" w:rsidRDefault="00BE237F" w:rsidP="006A005A">
      <w:pPr>
        <w:pStyle w:val="DA4ThirdLevelNumbering"/>
        <w:numPr>
          <w:ilvl w:val="0"/>
          <w:numId w:val="0"/>
        </w:numPr>
        <w:ind w:left="2127"/>
        <w:rPr>
          <w:rFonts w:cs="Arial"/>
          <w:szCs w:val="22"/>
        </w:rPr>
      </w:pPr>
      <w:r w:rsidRPr="00BD0BB8">
        <w:rPr>
          <w:rFonts w:cs="Arial"/>
          <w:szCs w:val="22"/>
        </w:rPr>
        <w:t>provided that</w:t>
      </w:r>
      <w:r w:rsidR="007D61F4" w:rsidRPr="00BD0BB8">
        <w:rPr>
          <w:rFonts w:cs="Arial"/>
          <w:szCs w:val="22"/>
        </w:rPr>
        <w:t xml:space="preserve"> </w:t>
      </w:r>
      <w:r w:rsidR="00E95CDE">
        <w:rPr>
          <w:rFonts w:cs="Arial"/>
          <w:szCs w:val="22"/>
        </w:rPr>
        <w:t>a Preference Shareholder Majority</w:t>
      </w:r>
      <w:r w:rsidR="00041D2B" w:rsidRPr="00BD0BB8">
        <w:rPr>
          <w:rFonts w:cs="Arial"/>
          <w:szCs w:val="22"/>
        </w:rPr>
        <w:t xml:space="preserve"> </w:t>
      </w:r>
      <w:r w:rsidRPr="00BD0BB8">
        <w:rPr>
          <w:rFonts w:cs="Arial"/>
          <w:szCs w:val="22"/>
        </w:rPr>
        <w:t>may elect not to deem any of the aforesaid events as a Liquidity Event, and such election shall be binding on all Shareholders</w:t>
      </w:r>
      <w:r w:rsidR="009A076B" w:rsidRPr="00BD0BB8">
        <w:rPr>
          <w:rStyle w:val="FootnoteReference"/>
          <w:rFonts w:cs="Arial"/>
          <w:szCs w:val="22"/>
        </w:rPr>
        <w:footnoteReference w:id="4"/>
      </w:r>
      <w:r w:rsidR="00727250" w:rsidRPr="00BD0BB8">
        <w:rPr>
          <w:rFonts w:cs="Arial"/>
          <w:szCs w:val="22"/>
        </w:rPr>
        <w:t>;</w:t>
      </w:r>
    </w:p>
    <w:bookmarkEnd w:id="32"/>
    <w:p w14:paraId="45A0C318" w14:textId="6FB0C82F" w:rsidR="000A75FA" w:rsidRPr="00BD0BB8" w:rsidRDefault="006A005A" w:rsidP="006A005A">
      <w:pPr>
        <w:pStyle w:val="DA3Third"/>
      </w:pPr>
      <w:r>
        <w:t>"</w:t>
      </w:r>
      <w:r w:rsidR="000A75FA" w:rsidRPr="00BD0BB8">
        <w:rPr>
          <w:b/>
        </w:rPr>
        <w:t>Liquidity Preference</w:t>
      </w:r>
      <w:r>
        <w:t>"</w:t>
      </w:r>
      <w:r w:rsidR="000A75FA" w:rsidRPr="00BD0BB8">
        <w:t xml:space="preserve"> means the </w:t>
      </w:r>
      <w:r w:rsidR="000E1C4D" w:rsidRPr="00BD0BB8">
        <w:t xml:space="preserve">rights of the </w:t>
      </w:r>
      <w:r w:rsidR="00C03060">
        <w:t>Preference</w:t>
      </w:r>
      <w:r w:rsidR="000A75FA" w:rsidRPr="00BD0BB8">
        <w:t xml:space="preserve"> Holder’s upon the happening of a Liquidity Event, as described in paragraph </w:t>
      </w:r>
      <w:r w:rsidR="000E1C4D" w:rsidRPr="00BD0BB8">
        <w:fldChar w:fldCharType="begin"/>
      </w:r>
      <w:r w:rsidR="000E1C4D" w:rsidRPr="00BD0BB8">
        <w:instrText xml:space="preserve"> REF _Ref209004678 \r \h </w:instrText>
      </w:r>
      <w:r w:rsidR="00BD0BB8" w:rsidRPr="00BD0BB8">
        <w:instrText xml:space="preserve"> \* MERGEFORMAT </w:instrText>
      </w:r>
      <w:r w:rsidR="000E1C4D" w:rsidRPr="00BD0BB8">
        <w:fldChar w:fldCharType="separate"/>
      </w:r>
      <w:r w:rsidR="00633773">
        <w:t>5</w:t>
      </w:r>
      <w:r w:rsidR="000E1C4D" w:rsidRPr="00BD0BB8">
        <w:fldChar w:fldCharType="end"/>
      </w:r>
      <w:r w:rsidR="000A75FA" w:rsidRPr="00BD0BB8">
        <w:t xml:space="preserve"> of Annexure A; </w:t>
      </w:r>
    </w:p>
    <w:p w14:paraId="4369474F" w14:textId="191A4F1C" w:rsidR="00F82FAA" w:rsidRPr="00BD0BB8" w:rsidRDefault="006A005A" w:rsidP="006A005A">
      <w:pPr>
        <w:pStyle w:val="DA3Third"/>
      </w:pPr>
      <w:r>
        <w:t>"</w:t>
      </w:r>
      <w:r w:rsidR="00BF3AAB" w:rsidRPr="00BD0BB8">
        <w:rPr>
          <w:b/>
        </w:rPr>
        <w:t>Loan Account</w:t>
      </w:r>
      <w:r>
        <w:t>"</w:t>
      </w:r>
      <w:r w:rsidR="00BF3AAB" w:rsidRPr="00BD0BB8">
        <w:t xml:space="preserve"> means any claim on loan account which any Shareholder may have against the Company from time to time;</w:t>
      </w:r>
    </w:p>
    <w:p w14:paraId="38E18880" w14:textId="0FA8B641" w:rsidR="00462C16" w:rsidRPr="00BD0BB8" w:rsidRDefault="006A005A" w:rsidP="006A005A">
      <w:pPr>
        <w:pStyle w:val="DA3Third"/>
      </w:pPr>
      <w:r>
        <w:t>"</w:t>
      </w:r>
      <w:r w:rsidR="00BF3AAB" w:rsidRPr="00BD0BB8">
        <w:rPr>
          <w:b/>
        </w:rPr>
        <w:t>MOI</w:t>
      </w:r>
      <w:r>
        <w:t>"</w:t>
      </w:r>
      <w:r w:rsidR="00BF3AAB" w:rsidRPr="00BD0BB8">
        <w:t xml:space="preserve"> means this Memorandum of Incorporation;</w:t>
      </w:r>
    </w:p>
    <w:p w14:paraId="49158BAB" w14:textId="59599266" w:rsidR="001E4C2C" w:rsidRDefault="001E4C2C" w:rsidP="001E4C2C">
      <w:pPr>
        <w:pStyle w:val="DA3Third"/>
      </w:pPr>
      <w:r>
        <w:t>"</w:t>
      </w:r>
      <w:r w:rsidRPr="00372DDD">
        <w:rPr>
          <w:b/>
          <w:bCs/>
        </w:rPr>
        <w:t>New Consideration</w:t>
      </w:r>
      <w:r>
        <w:t xml:space="preserve">" means the non-cash consideration for Ordinary Shares in the circumstances described in paragraph </w:t>
      </w:r>
      <w:r>
        <w:fldChar w:fldCharType="begin"/>
      </w:r>
      <w:r>
        <w:instrText xml:space="preserve"> REF _Ref209358198 \r \h  \* MERGEFORMAT </w:instrText>
      </w:r>
      <w:r>
        <w:fldChar w:fldCharType="separate"/>
      </w:r>
      <w:r w:rsidR="00633773">
        <w:t>9.4.1</w:t>
      </w:r>
      <w:r>
        <w:fldChar w:fldCharType="end"/>
      </w:r>
      <w:r>
        <w:t xml:space="preserve"> of Annexure A; </w:t>
      </w:r>
    </w:p>
    <w:p w14:paraId="3F3E786F" w14:textId="6E0C4340" w:rsidR="00BE243E" w:rsidRPr="00BD0BB8" w:rsidRDefault="006A005A" w:rsidP="006A005A">
      <w:pPr>
        <w:pStyle w:val="DA3Third"/>
      </w:pPr>
      <w:r>
        <w:t>"</w:t>
      </w:r>
      <w:r w:rsidR="00DC1C10" w:rsidRPr="00BD0BB8">
        <w:rPr>
          <w:b/>
        </w:rPr>
        <w:t>Ordinary Shares</w:t>
      </w:r>
      <w:r>
        <w:t>"</w:t>
      </w:r>
      <w:r w:rsidR="00DC1C10" w:rsidRPr="00BD0BB8">
        <w:t xml:space="preserve"> means </w:t>
      </w:r>
      <w:r w:rsidR="00A47880" w:rsidRPr="00BD0BB8">
        <w:t xml:space="preserve">the </w:t>
      </w:r>
      <w:r w:rsidR="00DC1C10" w:rsidRPr="00BD0BB8">
        <w:t>ordinary shares in the capital of the Company</w:t>
      </w:r>
      <w:r w:rsidR="00BE243E" w:rsidRPr="00BD0BB8">
        <w:t xml:space="preserve"> as described and having the rights, preferences and limitations described in this MOI</w:t>
      </w:r>
      <w:r w:rsidR="00DC1C10" w:rsidRPr="00BD0BB8">
        <w:t>;</w:t>
      </w:r>
      <w:r w:rsidR="00BE243E" w:rsidRPr="00BD0BB8">
        <w:t xml:space="preserve"> </w:t>
      </w:r>
    </w:p>
    <w:p w14:paraId="5A9EFD4F" w14:textId="56CDA7A8" w:rsidR="001F1774" w:rsidRPr="00BD0BB8" w:rsidRDefault="006A005A" w:rsidP="006A005A">
      <w:pPr>
        <w:pStyle w:val="DA3Third"/>
      </w:pPr>
      <w:r>
        <w:t>"</w:t>
      </w:r>
      <w:r w:rsidR="001F1774" w:rsidRPr="00BD0BB8">
        <w:rPr>
          <w:b/>
        </w:rPr>
        <w:t>Ordinary Directors</w:t>
      </w:r>
      <w:r>
        <w:t>"</w:t>
      </w:r>
      <w:r w:rsidR="001F1774" w:rsidRPr="00BD0BB8">
        <w:t xml:space="preserve"> means the dire</w:t>
      </w:r>
      <w:r w:rsidR="001F1774" w:rsidRPr="00BD22B2">
        <w:t xml:space="preserve">ctors appointed by Ordinary Shareholders in terms of clause </w:t>
      </w:r>
      <w:r w:rsidR="00BD22B2">
        <w:fldChar w:fldCharType="begin"/>
      </w:r>
      <w:r w:rsidR="00BD22B2">
        <w:instrText xml:space="preserve"> REF _Ref209004888 \r \h </w:instrText>
      </w:r>
      <w:r>
        <w:instrText xml:space="preserve"> \* MERGEFORMAT </w:instrText>
      </w:r>
      <w:r w:rsidR="00BD22B2">
        <w:fldChar w:fldCharType="separate"/>
      </w:r>
      <w:r w:rsidR="00633773">
        <w:t>19.2</w:t>
      </w:r>
      <w:r w:rsidR="00BD22B2">
        <w:fldChar w:fldCharType="end"/>
      </w:r>
      <w:r w:rsidR="001F1774" w:rsidRPr="00BD22B2">
        <w:t>;</w:t>
      </w:r>
      <w:r w:rsidR="001F1774" w:rsidRPr="00BD0BB8">
        <w:t xml:space="preserve"> </w:t>
      </w:r>
    </w:p>
    <w:p w14:paraId="2068A860" w14:textId="4CDA6713" w:rsidR="004757C1" w:rsidRPr="00BD0BB8" w:rsidRDefault="006A005A" w:rsidP="006A005A">
      <w:pPr>
        <w:pStyle w:val="DA3Third"/>
      </w:pPr>
      <w:r>
        <w:t>"</w:t>
      </w:r>
      <w:r w:rsidR="006A76A7" w:rsidRPr="00BD0BB8">
        <w:rPr>
          <w:b/>
          <w:bCs/>
        </w:rPr>
        <w:t>Original Issue Price</w:t>
      </w:r>
      <w:r>
        <w:t>"</w:t>
      </w:r>
      <w:r w:rsidR="006A76A7" w:rsidRPr="00BD0BB8">
        <w:t xml:space="preserve"> means, for each series of </w:t>
      </w:r>
      <w:r w:rsidR="00DB6D73">
        <w:t>Preference Shares</w:t>
      </w:r>
      <w:r w:rsidR="006A76A7" w:rsidRPr="00BD0BB8">
        <w:t xml:space="preserve">, the subscription price per share at which that series was first issued, subject to appropriate adjustment for any share split, consolidation, or similar capital </w:t>
      </w:r>
      <w:r w:rsidR="006A76A7" w:rsidRPr="00BD0BB8">
        <w:lastRenderedPageBreak/>
        <w:t>reorganisation</w:t>
      </w:r>
      <w:r w:rsidR="008C2A37" w:rsidRPr="00BD0BB8">
        <w:t>;</w:t>
      </w:r>
    </w:p>
    <w:p w14:paraId="6A103B32" w14:textId="7F040239" w:rsidR="007D61F4" w:rsidRPr="00BD0BB8" w:rsidRDefault="006A005A" w:rsidP="006A005A">
      <w:pPr>
        <w:pStyle w:val="DA3Third"/>
      </w:pPr>
      <w:r>
        <w:t>"</w:t>
      </w:r>
      <w:r w:rsidR="004757C1" w:rsidRPr="00BD0BB8">
        <w:rPr>
          <w:b/>
        </w:rPr>
        <w:t>Original Issue Date</w:t>
      </w:r>
      <w:r>
        <w:t>"</w:t>
      </w:r>
      <w:r w:rsidR="004757C1" w:rsidRPr="00BD0BB8">
        <w:t xml:space="preserve"> means the effective date of issue of the </w:t>
      </w:r>
      <w:r w:rsidR="00C03060">
        <w:t>Preference</w:t>
      </w:r>
      <w:r w:rsidR="00DE6F71" w:rsidRPr="00BD0BB8">
        <w:t xml:space="preserve"> Share</w:t>
      </w:r>
      <w:r w:rsidR="00C03060">
        <w:t>s</w:t>
      </w:r>
      <w:r w:rsidR="004757C1" w:rsidRPr="00BD0BB8">
        <w:t>;</w:t>
      </w:r>
      <w:r w:rsidR="007D61F4" w:rsidRPr="00BD0BB8">
        <w:t xml:space="preserve"> </w:t>
      </w:r>
    </w:p>
    <w:p w14:paraId="70712C29" w14:textId="77777777" w:rsidR="001E4C2C" w:rsidRPr="00BD0BB8" w:rsidRDefault="001E4C2C" w:rsidP="001E4C2C">
      <w:pPr>
        <w:pStyle w:val="DA3Third"/>
      </w:pPr>
      <w:r>
        <w:t>"</w:t>
      </w:r>
      <w:r>
        <w:rPr>
          <w:b/>
          <w:bCs/>
        </w:rPr>
        <w:t xml:space="preserve">Preference Shareholder </w:t>
      </w:r>
      <w:r w:rsidRPr="00B53998">
        <w:rPr>
          <w:b/>
          <w:bCs/>
        </w:rPr>
        <w:t>Majority</w:t>
      </w:r>
      <w:r>
        <w:t xml:space="preserve">" means holders of the percentage of Preference Shares as described in Part 1 of Annexure B, voting as a single class; </w:t>
      </w:r>
    </w:p>
    <w:p w14:paraId="0A157209" w14:textId="3354B649" w:rsidR="003F41B2" w:rsidRPr="00BD0BB8" w:rsidRDefault="003F41B2" w:rsidP="006A005A">
      <w:pPr>
        <w:pStyle w:val="DA3Third"/>
      </w:pPr>
      <w:r w:rsidRPr="00BD0BB8">
        <w:t>[</w:t>
      </w:r>
      <w:r w:rsidR="006A005A">
        <w:t>"</w:t>
      </w:r>
      <w:r w:rsidRPr="00BD0BB8">
        <w:rPr>
          <w:b/>
          <w:bCs/>
        </w:rPr>
        <w:t>Preferential Dividend</w:t>
      </w:r>
      <w:r w:rsidR="006A005A">
        <w:t>"</w:t>
      </w:r>
      <w:r w:rsidRPr="00BD0BB8">
        <w:t xml:space="preserve"> means the non-cumulative preferential dividend rights of the </w:t>
      </w:r>
      <w:r w:rsidR="00C03060">
        <w:t>Preference</w:t>
      </w:r>
      <w:r w:rsidRPr="00BD0BB8">
        <w:t xml:space="preserve"> Shares as described in </w:t>
      </w:r>
      <w:r w:rsidR="008D6F0A">
        <w:t xml:space="preserve">paragraph </w:t>
      </w:r>
      <w:r w:rsidR="008D6F0A">
        <w:fldChar w:fldCharType="begin"/>
      </w:r>
      <w:r w:rsidR="008D6F0A">
        <w:instrText xml:space="preserve"> REF _Ref209007099 \r \h </w:instrText>
      </w:r>
      <w:r w:rsidR="006A005A">
        <w:instrText xml:space="preserve"> \* MERGEFORMAT </w:instrText>
      </w:r>
      <w:r w:rsidR="008D6F0A">
        <w:fldChar w:fldCharType="separate"/>
      </w:r>
      <w:r w:rsidR="00633773">
        <w:t>4.1</w:t>
      </w:r>
      <w:r w:rsidR="008D6F0A">
        <w:fldChar w:fldCharType="end"/>
      </w:r>
      <w:r w:rsidR="008D6F0A">
        <w:t xml:space="preserve"> of Annexure A</w:t>
      </w:r>
      <w:r w:rsidRPr="00BD0BB8">
        <w:t>;]</w:t>
      </w:r>
    </w:p>
    <w:p w14:paraId="0BBBE295" w14:textId="1725AD3D" w:rsidR="00B159FF" w:rsidRPr="00BD0BB8" w:rsidRDefault="006A005A" w:rsidP="006A005A">
      <w:pPr>
        <w:pStyle w:val="DA3Third"/>
      </w:pPr>
      <w:r>
        <w:t>"</w:t>
      </w:r>
      <w:r w:rsidR="00B159FF" w:rsidRPr="00BD0BB8">
        <w:rPr>
          <w:b/>
        </w:rPr>
        <w:t>Preference Shares</w:t>
      </w:r>
      <w:r w:rsidR="00D06AC9" w:rsidRPr="00BD0BB8">
        <w:rPr>
          <w:rStyle w:val="FootnoteReference"/>
          <w:b/>
        </w:rPr>
        <w:footnoteReference w:id="5"/>
      </w:r>
      <w:r>
        <w:t>"</w:t>
      </w:r>
      <w:r w:rsidR="00B159FF" w:rsidRPr="00BD0BB8">
        <w:t xml:space="preserve"> means the </w:t>
      </w:r>
      <w:r w:rsidR="00DE6F71" w:rsidRPr="00BD0BB8">
        <w:t>Series A Share</w:t>
      </w:r>
      <w:r w:rsidR="00D06AC9" w:rsidRPr="00BD0BB8">
        <w:t>s</w:t>
      </w:r>
      <w:r w:rsidR="00530BBE">
        <w:t xml:space="preserve"> [</w:t>
      </w:r>
      <w:r w:rsidR="00530BBE" w:rsidRPr="002A7E3B">
        <w:rPr>
          <w:i/>
          <w:iCs/>
        </w:rPr>
        <w:t>If more than one Class of Preference Shares, define each class and then add</w:t>
      </w:r>
      <w:r w:rsidR="00530BBE">
        <w:t xml:space="preserve">: </w:t>
      </w:r>
      <w:r w:rsidR="00C03060">
        <w:t>the class(es) of Shares with preferential rights authorised to be issued by the Company, comprising [</w:t>
      </w:r>
      <w:r w:rsidR="005E7A6B">
        <w:t xml:space="preserve">e.g. </w:t>
      </w:r>
      <w:r w:rsidR="00C03060">
        <w:t>Seed Shares</w:t>
      </w:r>
      <w:r w:rsidR="005E7A6B">
        <w:t xml:space="preserve"> [etc.] </w:t>
      </w:r>
      <w:r w:rsidR="00C03060">
        <w:t>and</w:t>
      </w:r>
      <w:r w:rsidR="005E7A6B">
        <w:t xml:space="preserve"> </w:t>
      </w:r>
      <w:r w:rsidR="00C03060">
        <w:t>Series A Shares]</w:t>
      </w:r>
      <w:r w:rsidR="00D06AC9" w:rsidRPr="00BD0BB8">
        <w:t xml:space="preserve">; </w:t>
      </w:r>
    </w:p>
    <w:p w14:paraId="507588B1" w14:textId="1BE3EB60" w:rsidR="00693409" w:rsidRPr="00BD0BB8" w:rsidRDefault="006A005A" w:rsidP="006A005A">
      <w:pPr>
        <w:pStyle w:val="DA3Third"/>
      </w:pPr>
      <w:r>
        <w:t>"</w:t>
      </w:r>
      <w:r w:rsidR="00693409" w:rsidRPr="00BD0BB8">
        <w:rPr>
          <w:b/>
          <w:bCs/>
        </w:rPr>
        <w:t>Preference Share Director</w:t>
      </w:r>
      <w:r>
        <w:t>"</w:t>
      </w:r>
      <w:r w:rsidR="00693409" w:rsidRPr="00BD0BB8">
        <w:t xml:space="preserve"> means a director appointed by </w:t>
      </w:r>
      <w:r w:rsidR="00C03060">
        <w:t>Preference</w:t>
      </w:r>
      <w:r w:rsidR="00693409" w:rsidRPr="00BD0BB8">
        <w:t xml:space="preserve"> Shareholders in terms of paragraph </w:t>
      </w:r>
      <w:r w:rsidR="00693409" w:rsidRPr="00BD0BB8">
        <w:fldChar w:fldCharType="begin"/>
      </w:r>
      <w:r w:rsidR="00693409" w:rsidRPr="00BD0BB8">
        <w:instrText xml:space="preserve"> REF _Ref208393461 \r \h </w:instrText>
      </w:r>
      <w:r w:rsidR="00BD0BB8" w:rsidRPr="00BD0BB8">
        <w:instrText xml:space="preserve"> \* MERGEFORMAT </w:instrText>
      </w:r>
      <w:r w:rsidR="00693409" w:rsidRPr="00BD0BB8">
        <w:fldChar w:fldCharType="separate"/>
      </w:r>
      <w:r w:rsidR="00633773">
        <w:t>3</w:t>
      </w:r>
      <w:r w:rsidR="00693409" w:rsidRPr="00BD0BB8">
        <w:fldChar w:fldCharType="end"/>
      </w:r>
      <w:r w:rsidR="00693409" w:rsidRPr="00BD0BB8">
        <w:t xml:space="preserve"> of Annexure A; </w:t>
      </w:r>
    </w:p>
    <w:p w14:paraId="1F74E915" w14:textId="1226C865" w:rsidR="006A76A7" w:rsidRPr="00BD0BB8" w:rsidRDefault="006A005A" w:rsidP="006A005A">
      <w:pPr>
        <w:pStyle w:val="DA3Third"/>
      </w:pPr>
      <w:r>
        <w:t>"</w:t>
      </w:r>
      <w:r w:rsidR="006A76A7" w:rsidRPr="00BD0BB8">
        <w:rPr>
          <w:b/>
          <w:bCs/>
        </w:rPr>
        <w:t>Proceeds</w:t>
      </w:r>
      <w:r>
        <w:t>"</w:t>
      </w:r>
      <w:r w:rsidR="006A76A7" w:rsidRPr="00BD0BB8">
        <w:t xml:space="preserve"> means: </w:t>
      </w:r>
    </w:p>
    <w:p w14:paraId="631E7C28" w14:textId="77777777" w:rsidR="006A76A7" w:rsidRPr="00BD0BB8" w:rsidRDefault="006A76A7" w:rsidP="006A005A">
      <w:pPr>
        <w:pStyle w:val="DA4ThirdLevelNumbering"/>
        <w:rPr>
          <w:rFonts w:cs="Arial"/>
          <w:szCs w:val="22"/>
        </w:rPr>
      </w:pPr>
      <w:r w:rsidRPr="00BD0BB8">
        <w:rPr>
          <w:rFonts w:cs="Arial"/>
          <w:szCs w:val="22"/>
        </w:rPr>
        <w:t xml:space="preserve">the cash, securities, and other assets of the Company available for distribution to Shareholders; </w:t>
      </w:r>
      <w:r w:rsidRPr="00BD0BB8">
        <w:rPr>
          <w:rFonts w:cs="Arial"/>
          <w:color w:val="000000"/>
          <w:szCs w:val="22"/>
        </w:rPr>
        <w:t xml:space="preserve">or </w:t>
      </w:r>
    </w:p>
    <w:p w14:paraId="238DE6D8" w14:textId="77777777" w:rsidR="006A76A7" w:rsidRPr="00BD0BB8" w:rsidRDefault="006A76A7" w:rsidP="006A005A">
      <w:pPr>
        <w:pStyle w:val="DA4ThirdLevelNumbering"/>
        <w:rPr>
          <w:rFonts w:cs="Arial"/>
          <w:szCs w:val="22"/>
        </w:rPr>
      </w:pPr>
      <w:r w:rsidRPr="00BD0BB8">
        <w:rPr>
          <w:rFonts w:cs="Arial"/>
          <w:szCs w:val="22"/>
        </w:rPr>
        <w:t xml:space="preserve">the consideration payable to the Company or the Shareholders in connection with such Liquidity Event, as applicable, </w:t>
      </w:r>
    </w:p>
    <w:p w14:paraId="15DDBDEB" w14:textId="77DE986B" w:rsidR="006A76A7" w:rsidRPr="00BD0BB8" w:rsidRDefault="006A76A7" w:rsidP="006A005A">
      <w:pPr>
        <w:pStyle w:val="DA3Third"/>
        <w:numPr>
          <w:ilvl w:val="0"/>
          <w:numId w:val="0"/>
        </w:numPr>
        <w:ind w:left="1985"/>
      </w:pPr>
      <w:r w:rsidRPr="00BD0BB8">
        <w:t xml:space="preserve">after settlement of the </w:t>
      </w:r>
      <w:r w:rsidRPr="00BD0BB8">
        <w:rPr>
          <w:noProof/>
        </w:rPr>
        <w:t xml:space="preserve">Company’s creditors and </w:t>
      </w:r>
      <w:r w:rsidRPr="00BD0BB8">
        <w:t>statutory preferent claims, and subject to</w:t>
      </w:r>
      <w:r w:rsidR="000E1C4D" w:rsidRPr="00BD0BB8">
        <w:t xml:space="preserve"> paragraph </w:t>
      </w:r>
      <w:r w:rsidR="000E1C4D" w:rsidRPr="00BD0BB8">
        <w:fldChar w:fldCharType="begin"/>
      </w:r>
      <w:r w:rsidR="000E1C4D" w:rsidRPr="00BD0BB8">
        <w:instrText xml:space="preserve"> REF _Ref209004678 \r \h </w:instrText>
      </w:r>
      <w:r w:rsidR="00BD0BB8" w:rsidRPr="00BD0BB8">
        <w:instrText xml:space="preserve"> \* MERGEFORMAT </w:instrText>
      </w:r>
      <w:r w:rsidR="000E1C4D" w:rsidRPr="00BD0BB8">
        <w:fldChar w:fldCharType="separate"/>
      </w:r>
      <w:r w:rsidR="00633773">
        <w:t>5</w:t>
      </w:r>
      <w:r w:rsidR="000E1C4D" w:rsidRPr="00BD0BB8">
        <w:fldChar w:fldCharType="end"/>
      </w:r>
      <w:r w:rsidR="000E1C4D" w:rsidRPr="00BD0BB8">
        <w:t xml:space="preserve"> of Annexure A</w:t>
      </w:r>
      <w:r w:rsidRPr="00BD0BB8">
        <w:t>,</w:t>
      </w:r>
    </w:p>
    <w:p w14:paraId="13D7313E" w14:textId="60864119" w:rsidR="00320878" w:rsidRPr="00BD0BB8" w:rsidRDefault="006A005A" w:rsidP="00AA6C83">
      <w:pPr>
        <w:pStyle w:val="DA3Third"/>
        <w:rPr>
          <w:rStyle w:val="LegalHof2"/>
          <w:spacing w:val="-3"/>
        </w:rPr>
      </w:pPr>
      <w:r>
        <w:t>"</w:t>
      </w:r>
      <w:r w:rsidR="00727250" w:rsidRPr="00BD0BB8">
        <w:rPr>
          <w:b/>
        </w:rPr>
        <w:t>Qualified IPO</w:t>
      </w:r>
      <w:r>
        <w:t>"</w:t>
      </w:r>
      <w:r w:rsidR="00727250" w:rsidRPr="00BD0BB8">
        <w:t xml:space="preserve"> means </w:t>
      </w:r>
      <w:r w:rsidR="00AA6C83" w:rsidRPr="00AA6C83">
        <w:t>a firm commitment underwritten public offering covering the offer and sale of Ordinary Shares at a price per Share of at least [●] ([●] Rand) (as adjusted for any share splits, reverse share splits, dividends and similar recapitalisation events) with aggregate gross proceeds to the Company (prior to deduction of underwriters’ commissions and expenses) of not less than [●] ([●] Rand);</w:t>
      </w:r>
      <w:r>
        <w:rPr>
          <w:rStyle w:val="LegalHof2"/>
          <w:spacing w:val="-3"/>
        </w:rPr>
        <w:t>"</w:t>
      </w:r>
      <w:r w:rsidR="00320878" w:rsidRPr="00BD0BB8">
        <w:rPr>
          <w:rStyle w:val="LegalHof2"/>
          <w:b/>
          <w:spacing w:val="-3"/>
        </w:rPr>
        <w:t>Rules</w:t>
      </w:r>
      <w:r>
        <w:rPr>
          <w:rStyle w:val="LegalHof2"/>
          <w:spacing w:val="-3"/>
        </w:rPr>
        <w:t>"</w:t>
      </w:r>
      <w:r w:rsidR="00320878" w:rsidRPr="00BD0BB8">
        <w:rPr>
          <w:rStyle w:val="LegalHof2"/>
          <w:spacing w:val="-3"/>
        </w:rPr>
        <w:t xml:space="preserve"> and </w:t>
      </w:r>
      <w:r>
        <w:rPr>
          <w:rStyle w:val="LegalHof2"/>
          <w:spacing w:val="-3"/>
        </w:rPr>
        <w:t>"</w:t>
      </w:r>
      <w:r w:rsidR="00320878" w:rsidRPr="00BD0BB8">
        <w:rPr>
          <w:rStyle w:val="LegalHof2"/>
          <w:b/>
          <w:spacing w:val="-3"/>
        </w:rPr>
        <w:t>Rule of the Company</w:t>
      </w:r>
      <w:r>
        <w:rPr>
          <w:rStyle w:val="LegalHof2"/>
          <w:spacing w:val="-3"/>
        </w:rPr>
        <w:t>"</w:t>
      </w:r>
      <w:r w:rsidR="00320878" w:rsidRPr="00BD0BB8">
        <w:rPr>
          <w:rStyle w:val="LegalHof2"/>
          <w:spacing w:val="-3"/>
        </w:rPr>
        <w:t xml:space="preserve"> means any rules made by a company as contemplated in section 15(3) to (5) </w:t>
      </w:r>
      <w:r w:rsidR="00320878" w:rsidRPr="00BD0BB8">
        <w:rPr>
          <w:rStyle w:val="LegalHof2"/>
          <w:spacing w:val="-3"/>
        </w:rPr>
        <w:lastRenderedPageBreak/>
        <w:t>of the Act;</w:t>
      </w:r>
    </w:p>
    <w:p w14:paraId="4188C54E" w14:textId="7029E7A5" w:rsidR="00B7037D" w:rsidRPr="00BD0BB8" w:rsidRDefault="006A005A" w:rsidP="006A005A">
      <w:pPr>
        <w:pStyle w:val="DA3Third"/>
        <w:rPr>
          <w:rStyle w:val="LegalHof2"/>
          <w:spacing w:val="-3"/>
        </w:rPr>
      </w:pPr>
      <w:r>
        <w:rPr>
          <w:rStyle w:val="LegalHof2"/>
          <w:spacing w:val="-3"/>
        </w:rPr>
        <w:t>"</w:t>
      </w:r>
      <w:r w:rsidR="00BF3AAB" w:rsidRPr="00BD0BB8">
        <w:rPr>
          <w:rStyle w:val="LegalHof2"/>
          <w:b/>
          <w:spacing w:val="-3"/>
        </w:rPr>
        <w:t>Securities</w:t>
      </w:r>
      <w:r>
        <w:rPr>
          <w:rStyle w:val="LegalHof2"/>
          <w:spacing w:val="-3"/>
        </w:rPr>
        <w:t>"</w:t>
      </w:r>
      <w:r w:rsidR="00BF3AAB" w:rsidRPr="00BD0BB8">
        <w:rPr>
          <w:rStyle w:val="LegalHof2"/>
          <w:spacing w:val="-3"/>
        </w:rPr>
        <w:t xml:space="preserve"> means any Shares, debentures or other instruments, irrespective of their form or title, issued or authorised to be issued by the Company;</w:t>
      </w:r>
    </w:p>
    <w:p w14:paraId="794DD0E7" w14:textId="2CBBDF70" w:rsidR="005F6D70" w:rsidRPr="00BD0BB8" w:rsidRDefault="006A005A" w:rsidP="006A005A">
      <w:pPr>
        <w:pStyle w:val="DA3Third"/>
      </w:pPr>
      <w:r>
        <w:t>"</w:t>
      </w:r>
      <w:r w:rsidR="005F6D70" w:rsidRPr="00BD0BB8">
        <w:rPr>
          <w:b/>
        </w:rPr>
        <w:t>Series A Share</w:t>
      </w:r>
      <w:r w:rsidR="00C03060">
        <w:rPr>
          <w:b/>
        </w:rPr>
        <w:t>(s)</w:t>
      </w:r>
      <w:r>
        <w:t>"</w:t>
      </w:r>
      <w:r w:rsidR="005F6D70" w:rsidRPr="00BD0BB8">
        <w:t xml:space="preserve"> means the class of Shares in the company being no par value, convertible, Series A Preference Shares as described and having the rights, preferences and limitations described in </w:t>
      </w:r>
      <w:r w:rsidR="003F41B2" w:rsidRPr="00BD22B2">
        <w:rPr>
          <w:b/>
          <w:bCs/>
        </w:rPr>
        <w:t>Annexure A</w:t>
      </w:r>
      <w:r w:rsidR="005F6D70" w:rsidRPr="00BD0BB8">
        <w:t>;</w:t>
      </w:r>
    </w:p>
    <w:p w14:paraId="37061A80" w14:textId="1EF01606" w:rsidR="00E732B6" w:rsidRPr="00BD0BB8" w:rsidRDefault="006A005A" w:rsidP="006A005A">
      <w:pPr>
        <w:pStyle w:val="DA3Third"/>
      </w:pPr>
      <w:r>
        <w:t>"</w:t>
      </w:r>
      <w:r w:rsidR="00BF3AAB" w:rsidRPr="00BD0BB8">
        <w:rPr>
          <w:b/>
        </w:rPr>
        <w:t>Shareholders</w:t>
      </w:r>
      <w:r>
        <w:t>"</w:t>
      </w:r>
      <w:r w:rsidR="00BF3AAB" w:rsidRPr="00BD0BB8">
        <w:t xml:space="preserve"> means the </w:t>
      </w:r>
      <w:r w:rsidR="000C7EA2" w:rsidRPr="00BD0BB8">
        <w:t>H</w:t>
      </w:r>
      <w:r w:rsidR="00BF3AAB" w:rsidRPr="00BD0BB8">
        <w:t>olders of the Shares</w:t>
      </w:r>
      <w:r w:rsidR="00185B5A" w:rsidRPr="00BD0BB8">
        <w:t xml:space="preserve">, who are entered as such </w:t>
      </w:r>
      <w:r w:rsidR="0013632E" w:rsidRPr="00BD0BB8">
        <w:t>in the Company's Securities Register,</w:t>
      </w:r>
      <w:r w:rsidR="00BF3AAB" w:rsidRPr="00BD0BB8">
        <w:t xml:space="preserve"> from time to time;</w:t>
      </w:r>
    </w:p>
    <w:p w14:paraId="00338030" w14:textId="4569F40E" w:rsidR="00C250E9" w:rsidRPr="00BD0BB8" w:rsidRDefault="006A005A" w:rsidP="006A005A">
      <w:pPr>
        <w:pStyle w:val="DA3Third"/>
      </w:pPr>
      <w:r>
        <w:t>"</w:t>
      </w:r>
      <w:r w:rsidR="00BF3AAB" w:rsidRPr="00BD0BB8">
        <w:rPr>
          <w:b/>
        </w:rPr>
        <w:t>Shareholders’ Agreement</w:t>
      </w:r>
      <w:r>
        <w:t>"</w:t>
      </w:r>
      <w:r w:rsidR="00BF3AAB" w:rsidRPr="00BD0BB8">
        <w:t xml:space="preserve"> means, at any time, irrespective of whether it is described as a shareholders</w:t>
      </w:r>
      <w:r w:rsidR="0013632E" w:rsidRPr="00BD0BB8">
        <w:t>'</w:t>
      </w:r>
      <w:r w:rsidR="00BF3AAB" w:rsidRPr="00BD0BB8">
        <w:t xml:space="preserve"> agreement, any written agreement</w:t>
      </w:r>
      <w:r w:rsidR="007832CF" w:rsidRPr="00BD0BB8">
        <w:t>(</w:t>
      </w:r>
      <w:r w:rsidR="00BF3AAB" w:rsidRPr="00BD0BB8">
        <w:t>s</w:t>
      </w:r>
      <w:r w:rsidR="007832CF" w:rsidRPr="00BD0BB8">
        <w:t>)</w:t>
      </w:r>
      <w:r w:rsidR="00BF3AAB" w:rsidRPr="00BD0BB8">
        <w:t xml:space="preserve"> to which all of the Shareholders at that time are party and which relates in whole or in part to their rights and obligations in relation to each other and/</w:t>
      </w:r>
      <w:r w:rsidR="0030615B" w:rsidRPr="00BD0BB8">
        <w:t>or the Company</w:t>
      </w:r>
      <w:r w:rsidR="009B06A6" w:rsidRPr="00BD0BB8">
        <w:t>,</w:t>
      </w:r>
      <w:r w:rsidR="0030615B" w:rsidRPr="00BD0BB8">
        <w:t xml:space="preserve"> as Shareholders;</w:t>
      </w:r>
    </w:p>
    <w:p w14:paraId="52C96330" w14:textId="438F1727" w:rsidR="00727250" w:rsidRPr="00BD0BB8" w:rsidRDefault="006A005A" w:rsidP="006A005A">
      <w:pPr>
        <w:pStyle w:val="DA3Third"/>
        <w:rPr>
          <w:b/>
        </w:rPr>
      </w:pPr>
      <w:r>
        <w:t>"</w:t>
      </w:r>
      <w:r w:rsidR="005F6D70" w:rsidRPr="00BD0BB8">
        <w:rPr>
          <w:b/>
        </w:rPr>
        <w:t>Shares</w:t>
      </w:r>
      <w:r>
        <w:t>"</w:t>
      </w:r>
      <w:r w:rsidR="005F6D70" w:rsidRPr="00BD0BB8">
        <w:t xml:space="preserve"> means the shares in the capital of the Company, being the </w:t>
      </w:r>
      <w:r w:rsidR="006314B6">
        <w:t>Preference Shares</w:t>
      </w:r>
      <w:r w:rsidR="005B1D25" w:rsidRPr="00BD0BB8">
        <w:t xml:space="preserve"> </w:t>
      </w:r>
      <w:r w:rsidR="005F6D70" w:rsidRPr="00BD0BB8">
        <w:t>and the Ordinary Shares, and any other classes that may be authorised from time to time;</w:t>
      </w:r>
      <w:r w:rsidR="00727250" w:rsidRPr="00BD0BB8">
        <w:t xml:space="preserve"> </w:t>
      </w:r>
    </w:p>
    <w:p w14:paraId="12EF19A9" w14:textId="02AFF6C3" w:rsidR="00462C16" w:rsidRPr="00BD0BB8" w:rsidRDefault="006A005A" w:rsidP="006A005A">
      <w:pPr>
        <w:pStyle w:val="DA3Third"/>
      </w:pPr>
      <w:r>
        <w:t>"</w:t>
      </w:r>
      <w:r w:rsidR="00BF3AAB" w:rsidRPr="00BD0BB8">
        <w:rPr>
          <w:b/>
        </w:rPr>
        <w:t>Writing</w:t>
      </w:r>
      <w:r>
        <w:t>"</w:t>
      </w:r>
      <w:r w:rsidR="00BF3AAB" w:rsidRPr="00BD0BB8">
        <w:t xml:space="preserve"> includes Electronic Communication</w:t>
      </w:r>
      <w:r w:rsidR="0030615B" w:rsidRPr="00BD0BB8">
        <w:t>,</w:t>
      </w:r>
      <w:r w:rsidR="00BF3AAB" w:rsidRPr="00BD0BB8">
        <w:t xml:space="preserve"> but </w:t>
      </w:r>
      <w:r w:rsidR="002519FA" w:rsidRPr="00BD0BB8">
        <w:t>with regard to</w:t>
      </w:r>
      <w:r w:rsidR="00BF3AAB" w:rsidRPr="00BD0BB8">
        <w:t xml:space="preserve"> any Holder entitled to vote, only to the extent that such Holder has notified the Company of an </w:t>
      </w:r>
      <w:r w:rsidR="005530AD" w:rsidRPr="00BD0BB8">
        <w:t>Email Address</w:t>
      </w:r>
      <w:r w:rsidR="00BF3AAB" w:rsidRPr="00BD0BB8">
        <w:t>;</w:t>
      </w:r>
    </w:p>
    <w:p w14:paraId="79B81580" w14:textId="6478BE18" w:rsidR="00462C16" w:rsidRPr="00BD0BB8" w:rsidRDefault="00BF3AAB" w:rsidP="006A005A">
      <w:pPr>
        <w:pStyle w:val="DA2SecondLevel"/>
        <w:keepNext w:val="0"/>
        <w:widowControl w:val="0"/>
        <w:jc w:val="both"/>
      </w:pPr>
      <w:r w:rsidRPr="00BD0BB8">
        <w:t xml:space="preserve">references to Holders </w:t>
      </w:r>
      <w:r w:rsidR="006A005A">
        <w:t>"</w:t>
      </w:r>
      <w:r w:rsidRPr="00BD0BB8">
        <w:rPr>
          <w:i/>
        </w:rPr>
        <w:t>represented by proxy</w:t>
      </w:r>
      <w:r w:rsidR="006A005A">
        <w:t>"</w:t>
      </w:r>
      <w:r w:rsidRPr="00BD0BB8">
        <w:t xml:space="preserve"> shall include Holders entitled to vote by representation through an agent appointed under a general or special power of attorney;</w:t>
      </w:r>
    </w:p>
    <w:p w14:paraId="261DB6AE" w14:textId="6CE880B7" w:rsidR="00462C16" w:rsidRPr="00BD0BB8" w:rsidRDefault="00BF3AAB" w:rsidP="006A005A">
      <w:pPr>
        <w:pStyle w:val="DA2SecondLevel"/>
        <w:keepNext w:val="0"/>
        <w:widowControl w:val="0"/>
        <w:jc w:val="both"/>
      </w:pPr>
      <w:r w:rsidRPr="00BD0BB8">
        <w:t>references to Holders entitled to vote</w:t>
      </w:r>
      <w:r w:rsidR="00B57091" w:rsidRPr="00BD0BB8">
        <w:t xml:space="preserve"> while</w:t>
      </w:r>
      <w:r w:rsidRPr="00BD0BB8">
        <w:t xml:space="preserve"> </w:t>
      </w:r>
      <w:r w:rsidR="006A005A">
        <w:t>"</w:t>
      </w:r>
      <w:r w:rsidR="00452023" w:rsidRPr="00BD0BB8">
        <w:rPr>
          <w:i/>
        </w:rPr>
        <w:t>present</w:t>
      </w:r>
      <w:r w:rsidR="006A005A">
        <w:t>"</w:t>
      </w:r>
      <w:r w:rsidRPr="00BD0BB8">
        <w:t xml:space="preserve"> shall include juristic persons represented by duly authorised representative</w:t>
      </w:r>
      <w:r w:rsidR="0030615B" w:rsidRPr="00BD0BB8">
        <w:t>s</w:t>
      </w:r>
      <w:r w:rsidRPr="00BD0BB8">
        <w:t xml:space="preserve"> or acting in the manner prescribed in the </w:t>
      </w:r>
      <w:r w:rsidR="0050570C" w:rsidRPr="00BD0BB8">
        <w:t>Act</w:t>
      </w:r>
      <w:r w:rsidRPr="00BD0BB8">
        <w:t>;</w:t>
      </w:r>
    </w:p>
    <w:p w14:paraId="5CF5E955" w14:textId="77777777" w:rsidR="00462C16" w:rsidRPr="00BD0BB8" w:rsidRDefault="00BF3AAB" w:rsidP="006A005A">
      <w:pPr>
        <w:pStyle w:val="DA2SecondLevel"/>
        <w:keepNext w:val="0"/>
        <w:widowControl w:val="0"/>
        <w:jc w:val="both"/>
      </w:pPr>
      <w:r w:rsidRPr="00BD0BB8">
        <w:t xml:space="preserve">headings </w:t>
      </w:r>
      <w:r w:rsidR="007869E8" w:rsidRPr="00BD0BB8">
        <w:t xml:space="preserve">in this MOI </w:t>
      </w:r>
      <w:r w:rsidRPr="00BD0BB8">
        <w:t>are for reference purposes only and shall not affect the interpretation of this MOI;</w:t>
      </w:r>
    </w:p>
    <w:p w14:paraId="61053D97" w14:textId="77777777" w:rsidR="00462C16" w:rsidRPr="00BD0BB8" w:rsidRDefault="00BF3AAB" w:rsidP="006A005A">
      <w:pPr>
        <w:pStyle w:val="DA2SecondLevel"/>
        <w:keepNext w:val="0"/>
        <w:widowControl w:val="0"/>
        <w:jc w:val="both"/>
      </w:pPr>
      <w:r w:rsidRPr="00BD0BB8">
        <w:t>words in the singular shall include the plural, and words in the plural shall include the singular, words importing the masculine gender shall include the female gender, and words importing persons shall include created entities (corporate or not);</w:t>
      </w:r>
    </w:p>
    <w:p w14:paraId="2118B049" w14:textId="1D1AE83E" w:rsidR="00462C16" w:rsidRPr="00BD0BB8" w:rsidRDefault="00BF3AAB" w:rsidP="006A005A">
      <w:pPr>
        <w:pStyle w:val="DA2SecondLevel"/>
        <w:keepNext w:val="0"/>
        <w:widowControl w:val="0"/>
        <w:jc w:val="both"/>
      </w:pPr>
      <w:r w:rsidRPr="00BD0BB8">
        <w:t>if any term is defined within the context</w:t>
      </w:r>
      <w:r w:rsidR="0030615B" w:rsidRPr="00BD0BB8">
        <w:t xml:space="preserve"> of any particular clause in this</w:t>
      </w:r>
      <w:r w:rsidRPr="00BD0BB8">
        <w:t xml:space="preserve"> MOI, the term </w:t>
      </w:r>
      <w:r w:rsidRPr="00BD0BB8">
        <w:lastRenderedPageBreak/>
        <w:t xml:space="preserve">so defined, unless it is clear from the clause in question that the term so defined has limited application to the relevant clause, shall bear the meaning ascribed to it for all purposes in terms of this MOI, notwithstanding that </w:t>
      </w:r>
      <w:r w:rsidR="007869E8" w:rsidRPr="00BD0BB8">
        <w:t xml:space="preserve">the </w:t>
      </w:r>
      <w:r w:rsidRPr="00BD0BB8">
        <w:t xml:space="preserve">term has not been defined in </w:t>
      </w:r>
      <w:r w:rsidR="000F19F9" w:rsidRPr="00BD0BB8">
        <w:t>clause</w:t>
      </w:r>
      <w:r w:rsidR="0013632E" w:rsidRPr="00BD0BB8">
        <w:t> </w:t>
      </w:r>
      <w:r w:rsidR="0013632E" w:rsidRPr="00BD0BB8">
        <w:fldChar w:fldCharType="begin"/>
      </w:r>
      <w:r w:rsidR="0013632E" w:rsidRPr="00BD0BB8">
        <w:instrText xml:space="preserve"> REF _Ref11927728 \r \h </w:instrText>
      </w:r>
      <w:r w:rsidR="00B71A92" w:rsidRPr="00BD0BB8">
        <w:instrText xml:space="preserve"> \* MERGEFORMAT </w:instrText>
      </w:r>
      <w:r w:rsidR="0013632E" w:rsidRPr="00BD0BB8">
        <w:fldChar w:fldCharType="separate"/>
      </w:r>
      <w:r w:rsidR="00633773">
        <w:t>1.2</w:t>
      </w:r>
      <w:r w:rsidR="0013632E" w:rsidRPr="00BD0BB8">
        <w:fldChar w:fldCharType="end"/>
      </w:r>
      <w:r w:rsidRPr="00BD0BB8">
        <w:t>;</w:t>
      </w:r>
      <w:r w:rsidR="009C333C" w:rsidRPr="00BD0BB8">
        <w:t xml:space="preserve"> and</w:t>
      </w:r>
    </w:p>
    <w:p w14:paraId="4B2F9F9C" w14:textId="1E97738F" w:rsidR="00605881" w:rsidRPr="00BD0BB8" w:rsidRDefault="00BF3AAB" w:rsidP="006A005A">
      <w:pPr>
        <w:pStyle w:val="DA2SecondLevel"/>
        <w:keepNext w:val="0"/>
        <w:widowControl w:val="0"/>
        <w:jc w:val="both"/>
      </w:pPr>
      <w:bookmarkStart w:id="33" w:name="_Ref258835128"/>
      <w:r w:rsidRPr="00BD0BB8">
        <w:t xml:space="preserve">the rule of construction that a contract shall be interpreted against the party responsible for the drafting or preparation of the contract, </w:t>
      </w:r>
      <w:r w:rsidR="00682370" w:rsidRPr="00BD0BB8">
        <w:t>shall not apply to this MOI</w:t>
      </w:r>
      <w:r w:rsidR="00693409" w:rsidRPr="00BD0BB8">
        <w:t xml:space="preserve">; </w:t>
      </w:r>
    </w:p>
    <w:p w14:paraId="29562025" w14:textId="0BE69FA1" w:rsidR="00462C16" w:rsidRPr="00BD0BB8" w:rsidRDefault="00693409" w:rsidP="006A005A">
      <w:pPr>
        <w:pStyle w:val="DA2SecondLevel"/>
        <w:keepNext w:val="0"/>
        <w:widowControl w:val="0"/>
        <w:jc w:val="both"/>
      </w:pPr>
      <w:bookmarkStart w:id="34" w:name="_Ref283894318"/>
      <w:bookmarkStart w:id="35" w:name="_Ref453250089"/>
      <w:bookmarkEnd w:id="33"/>
      <w:r w:rsidRPr="00BD0BB8">
        <w:t xml:space="preserve">calculation </w:t>
      </w:r>
      <w:r w:rsidR="00100885" w:rsidRPr="00BD0BB8">
        <w:t>of</w:t>
      </w:r>
      <w:r w:rsidRPr="00BD0BB8">
        <w:t xml:space="preserve"> Business Days</w:t>
      </w:r>
      <w:bookmarkEnd w:id="34"/>
      <w:bookmarkEnd w:id="35"/>
      <w:r w:rsidRPr="00BD0BB8">
        <w:t xml:space="preserve"> </w:t>
      </w:r>
      <w:r w:rsidR="00625FA3" w:rsidRPr="00BD0BB8">
        <w:rPr>
          <w:rStyle w:val="FootnoteReference"/>
          <w:color w:val="auto"/>
        </w:rPr>
        <w:footnoteReference w:id="6"/>
      </w:r>
      <w:r w:rsidRPr="00BD0BB8">
        <w:t xml:space="preserve">: </w:t>
      </w:r>
      <w:r w:rsidR="00BF3AAB" w:rsidRPr="00BD0BB8">
        <w:t>When</w:t>
      </w:r>
      <w:r w:rsidR="0013632E" w:rsidRPr="00BD0BB8">
        <w:t>,</w:t>
      </w:r>
      <w:r w:rsidR="00BF3AAB" w:rsidRPr="00BD0BB8">
        <w:t xml:space="preserve"> </w:t>
      </w:r>
      <w:r w:rsidR="0013632E" w:rsidRPr="00BD0BB8">
        <w:t xml:space="preserve">in this MOI, </w:t>
      </w:r>
      <w:r w:rsidR="00BF3AAB" w:rsidRPr="00BD0BB8">
        <w:t>a particular number of Business Days is provided f</w:t>
      </w:r>
      <w:r w:rsidR="00FD45C0" w:rsidRPr="00BD0BB8">
        <w:t xml:space="preserve">or between the happening of one </w:t>
      </w:r>
      <w:r w:rsidR="00BF3AAB" w:rsidRPr="00BD0BB8">
        <w:t>event and another, the number of days must be calculated by</w:t>
      </w:r>
      <w:r w:rsidR="00D22DD7" w:rsidRPr="00BD0BB8">
        <w:t>:</w:t>
      </w:r>
    </w:p>
    <w:p w14:paraId="681BE702" w14:textId="77777777" w:rsidR="00462C16" w:rsidRPr="00BD0BB8" w:rsidRDefault="00BF3AAB" w:rsidP="006A005A">
      <w:pPr>
        <w:pStyle w:val="DA3Third"/>
      </w:pPr>
      <w:bookmarkStart w:id="36" w:name="_Ref277836649"/>
      <w:r w:rsidRPr="00BD0BB8">
        <w:t>excluding the day on which the first such event occurs;</w:t>
      </w:r>
      <w:bookmarkEnd w:id="36"/>
    </w:p>
    <w:p w14:paraId="117A2114" w14:textId="77777777" w:rsidR="00462C16" w:rsidRPr="00BD0BB8" w:rsidRDefault="00BF3AAB" w:rsidP="006A005A">
      <w:pPr>
        <w:pStyle w:val="DA3Third"/>
      </w:pPr>
      <w:bookmarkStart w:id="37" w:name="_Ref277836651"/>
      <w:r w:rsidRPr="00BD0BB8">
        <w:t>including the day on or by which the second event is to occur; and</w:t>
      </w:r>
      <w:bookmarkEnd w:id="37"/>
    </w:p>
    <w:p w14:paraId="1553BE95" w14:textId="1205228B" w:rsidR="00A713F0" w:rsidRPr="00BD0BB8" w:rsidRDefault="00BF3AAB" w:rsidP="006A005A">
      <w:pPr>
        <w:pStyle w:val="DA3Third"/>
      </w:pPr>
      <w:r w:rsidRPr="00BD0BB8">
        <w:t>excluding any public holiday, Saturday or Sunday that falls on or between the days contemplated in clauses </w:t>
      </w:r>
      <w:r w:rsidRPr="00BD0BB8">
        <w:fldChar w:fldCharType="begin"/>
      </w:r>
      <w:r w:rsidRPr="00BD0BB8">
        <w:instrText xml:space="preserve"> REF _Ref277836649 \r \h  \* MERGEFORMAT </w:instrText>
      </w:r>
      <w:r w:rsidRPr="00BD0BB8">
        <w:fldChar w:fldCharType="separate"/>
      </w:r>
      <w:r w:rsidR="00633773">
        <w:t>1.9.1</w:t>
      </w:r>
      <w:r w:rsidRPr="00BD0BB8">
        <w:fldChar w:fldCharType="end"/>
      </w:r>
      <w:r w:rsidRPr="00BD0BB8">
        <w:t xml:space="preserve"> and </w:t>
      </w:r>
      <w:r w:rsidRPr="00BD0BB8">
        <w:fldChar w:fldCharType="begin"/>
      </w:r>
      <w:r w:rsidRPr="00BD0BB8">
        <w:instrText xml:space="preserve"> REF _Ref277836651 \r \h  \* MERGEFORMAT </w:instrText>
      </w:r>
      <w:r w:rsidRPr="00BD0BB8">
        <w:fldChar w:fldCharType="separate"/>
      </w:r>
      <w:r w:rsidR="00633773">
        <w:t>1.9.2</w:t>
      </w:r>
      <w:r w:rsidRPr="00BD0BB8">
        <w:fldChar w:fldCharType="end"/>
      </w:r>
      <w:r w:rsidR="009C333C" w:rsidRPr="00BD0BB8">
        <w:t>,</w:t>
      </w:r>
      <w:r w:rsidRPr="00BD0BB8">
        <w:t xml:space="preserve"> respectively.</w:t>
      </w:r>
      <w:bookmarkStart w:id="38" w:name="_Ref255722107"/>
      <w:bookmarkStart w:id="39" w:name="_Toc256693249"/>
      <w:bookmarkStart w:id="40" w:name="_Toc256693481"/>
      <w:bookmarkStart w:id="41" w:name="_Toc256693627"/>
      <w:bookmarkStart w:id="42" w:name="_Toc256695167"/>
      <w:bookmarkStart w:id="43" w:name="_Toc256695485"/>
    </w:p>
    <w:p w14:paraId="26870179" w14:textId="77777777" w:rsidR="008D6950" w:rsidRDefault="008D6950" w:rsidP="006A005A">
      <w:pPr>
        <w:spacing w:line="240" w:lineRule="auto"/>
        <w:rPr>
          <w:rFonts w:cs="Arial"/>
          <w:b/>
          <w:bCs/>
          <w:caps/>
          <w:u w:val="single"/>
        </w:rPr>
      </w:pPr>
      <w:r>
        <w:rPr>
          <w:u w:val="single"/>
        </w:rPr>
        <w:br w:type="page"/>
      </w:r>
    </w:p>
    <w:p w14:paraId="48C30417" w14:textId="786DC762" w:rsidR="00264FC3" w:rsidRPr="00BD0BB8" w:rsidRDefault="00BF3AAB" w:rsidP="006A005A">
      <w:pPr>
        <w:pStyle w:val="Heading1"/>
        <w:keepNext w:val="0"/>
        <w:widowControl w:val="0"/>
        <w:numPr>
          <w:ilvl w:val="0"/>
          <w:numId w:val="0"/>
        </w:numPr>
        <w:ind w:left="709" w:hanging="709"/>
        <w:jc w:val="both"/>
        <w:rPr>
          <w:rFonts w:ascii="Arial" w:hAnsi="Arial"/>
          <w:color w:val="auto"/>
          <w:u w:val="single"/>
        </w:rPr>
      </w:pPr>
      <w:r w:rsidRPr="00BD0BB8">
        <w:rPr>
          <w:rFonts w:ascii="Arial" w:hAnsi="Arial"/>
          <w:color w:val="auto"/>
          <w:u w:val="single"/>
        </w:rPr>
        <w:lastRenderedPageBreak/>
        <w:t>Part 2</w:t>
      </w:r>
      <w:r w:rsidR="00B25A9C" w:rsidRPr="00BD0BB8">
        <w:rPr>
          <w:rFonts w:ascii="Arial" w:hAnsi="Arial"/>
          <w:color w:val="auto"/>
          <w:u w:val="single"/>
        </w:rPr>
        <w:t xml:space="preserve"> – Nature of </w:t>
      </w:r>
      <w:r w:rsidR="0030615B" w:rsidRPr="00BD0BB8">
        <w:rPr>
          <w:rFonts w:ascii="Arial" w:hAnsi="Arial"/>
          <w:color w:val="auto"/>
          <w:u w:val="single"/>
        </w:rPr>
        <w:t xml:space="preserve">THE </w:t>
      </w:r>
      <w:r w:rsidR="00B25A9C" w:rsidRPr="00BD0BB8">
        <w:rPr>
          <w:rFonts w:ascii="Arial" w:hAnsi="Arial"/>
          <w:color w:val="auto"/>
          <w:u w:val="single"/>
        </w:rPr>
        <w:t>Company</w:t>
      </w:r>
    </w:p>
    <w:p w14:paraId="7C80B567" w14:textId="52C1B75E" w:rsidR="00462C16" w:rsidRPr="00BD0BB8" w:rsidRDefault="00BF3AAB" w:rsidP="006A005A">
      <w:pPr>
        <w:pStyle w:val="Heading1"/>
        <w:keepNext w:val="0"/>
        <w:widowControl w:val="0"/>
        <w:tabs>
          <w:tab w:val="left" w:pos="851"/>
        </w:tabs>
        <w:jc w:val="both"/>
        <w:rPr>
          <w:rFonts w:ascii="Arial" w:hAnsi="Arial"/>
        </w:rPr>
      </w:pPr>
      <w:r w:rsidRPr="00BD0BB8">
        <w:rPr>
          <w:rFonts w:ascii="Arial" w:hAnsi="Arial"/>
        </w:rPr>
        <w:t xml:space="preserve">PRIVATE </w:t>
      </w:r>
      <w:r w:rsidRPr="00BD0BB8">
        <w:rPr>
          <w:rFonts w:ascii="Arial" w:hAnsi="Arial"/>
          <w:color w:val="auto"/>
        </w:rPr>
        <w:t>COMPANY</w:t>
      </w:r>
      <w:bookmarkEnd w:id="38"/>
      <w:bookmarkEnd w:id="39"/>
      <w:bookmarkEnd w:id="40"/>
      <w:bookmarkEnd w:id="41"/>
      <w:bookmarkEnd w:id="42"/>
      <w:bookmarkEnd w:id="43"/>
      <w:r w:rsidR="00625FA3" w:rsidRPr="00BD0BB8">
        <w:rPr>
          <w:rFonts w:ascii="Arial" w:hAnsi="Arial"/>
          <w:color w:val="auto"/>
        </w:rPr>
        <w:t xml:space="preserve"> </w:t>
      </w:r>
      <w:r w:rsidR="00625FA3" w:rsidRPr="00BD0BB8">
        <w:rPr>
          <w:rStyle w:val="FootnoteReference"/>
          <w:rFonts w:ascii="Arial" w:hAnsi="Arial"/>
          <w:color w:val="auto"/>
        </w:rPr>
        <w:footnoteReference w:id="7"/>
      </w:r>
    </w:p>
    <w:p w14:paraId="70BC2275" w14:textId="77777777" w:rsidR="00AE0E4F" w:rsidRPr="00BD0BB8" w:rsidRDefault="00BF3AAB" w:rsidP="006A005A">
      <w:pPr>
        <w:pStyle w:val="DA0"/>
        <w:widowControl w:val="0"/>
      </w:pPr>
      <w:bookmarkStart w:id="44" w:name="_Toc256693250"/>
      <w:bookmarkStart w:id="45" w:name="_Toc256693482"/>
      <w:bookmarkStart w:id="46" w:name="_Toc256693628"/>
      <w:bookmarkStart w:id="47" w:name="_Toc256695168"/>
      <w:r w:rsidRPr="00BD0BB8">
        <w:t xml:space="preserve">The Company </w:t>
      </w:r>
      <w:r w:rsidR="00B25A9C" w:rsidRPr="00BD0BB8">
        <w:t>is a Private Company</w:t>
      </w:r>
      <w:r w:rsidR="00B57091" w:rsidRPr="00BD0BB8">
        <w:t xml:space="preserve"> as it</w:t>
      </w:r>
      <w:bookmarkEnd w:id="44"/>
      <w:bookmarkEnd w:id="45"/>
      <w:bookmarkEnd w:id="46"/>
      <w:bookmarkEnd w:id="47"/>
      <w:r w:rsidR="000F6C91" w:rsidRPr="00BD0BB8">
        <w:t>:</w:t>
      </w:r>
    </w:p>
    <w:p w14:paraId="7C82CE06" w14:textId="77777777" w:rsidR="00462C16" w:rsidRPr="00BD0BB8" w:rsidRDefault="00BF3AAB" w:rsidP="006A005A">
      <w:pPr>
        <w:pStyle w:val="DA2SecondLevel"/>
        <w:keepNext w:val="0"/>
        <w:widowControl w:val="0"/>
        <w:jc w:val="both"/>
      </w:pPr>
      <w:r w:rsidRPr="00BD0BB8">
        <w:t>is a Profit Company;</w:t>
      </w:r>
    </w:p>
    <w:p w14:paraId="4126AF32" w14:textId="77777777" w:rsidR="00462C16" w:rsidRPr="00BD0BB8" w:rsidRDefault="00BF3AAB" w:rsidP="006A005A">
      <w:pPr>
        <w:pStyle w:val="DA2SecondLevel"/>
        <w:keepNext w:val="0"/>
        <w:widowControl w:val="0"/>
        <w:jc w:val="both"/>
      </w:pPr>
      <w:r w:rsidRPr="00BD0BB8">
        <w:t>is prohibited from offering any of its Securities to the public; and</w:t>
      </w:r>
    </w:p>
    <w:p w14:paraId="041BE41D" w14:textId="4082E87F" w:rsidR="00F52FC0" w:rsidRPr="00BD0BB8" w:rsidRDefault="00BF3AAB" w:rsidP="006A005A">
      <w:pPr>
        <w:pStyle w:val="DA2SecondLevel"/>
        <w:keepNext w:val="0"/>
        <w:widowControl w:val="0"/>
        <w:jc w:val="both"/>
      </w:pPr>
      <w:bookmarkStart w:id="48" w:name="_Ref452119622"/>
      <w:r w:rsidRPr="00BD0BB8">
        <w:t>has restrictions on the transferability of its Securities</w:t>
      </w:r>
      <w:r w:rsidR="00D42CF2" w:rsidRPr="00BD0BB8">
        <w:t>,</w:t>
      </w:r>
      <w:r w:rsidRPr="00BD0BB8">
        <w:t xml:space="preserve"> as set out in clause </w:t>
      </w:r>
      <w:bookmarkEnd w:id="48"/>
      <w:r w:rsidR="000E1C4D" w:rsidRPr="00BD0BB8">
        <w:fldChar w:fldCharType="begin"/>
      </w:r>
      <w:r w:rsidR="000E1C4D" w:rsidRPr="00BD0BB8">
        <w:instrText xml:space="preserve"> REF _Ref209004800 \r \h </w:instrText>
      </w:r>
      <w:r w:rsidR="00BD0BB8" w:rsidRPr="00BD0BB8">
        <w:instrText xml:space="preserve"> \* MERGEFORMAT </w:instrText>
      </w:r>
      <w:r w:rsidR="000E1C4D" w:rsidRPr="00BD0BB8">
        <w:fldChar w:fldCharType="separate"/>
      </w:r>
      <w:r w:rsidR="00633773">
        <w:t>10</w:t>
      </w:r>
      <w:r w:rsidR="000E1C4D" w:rsidRPr="00BD0BB8">
        <w:fldChar w:fldCharType="end"/>
      </w:r>
      <w:r w:rsidR="00F14432" w:rsidRPr="00BD0BB8">
        <w:rPr>
          <w:rStyle w:val="FootnoteReference"/>
          <w:color w:val="auto"/>
        </w:rPr>
        <w:footnoteReference w:id="8"/>
      </w:r>
      <w:r w:rsidR="00B25A9C" w:rsidRPr="00BD0BB8">
        <w:t>.</w:t>
      </w:r>
      <w:bookmarkStart w:id="49" w:name="_Toc256693253"/>
      <w:bookmarkStart w:id="50" w:name="_Toc256693485"/>
      <w:bookmarkStart w:id="51" w:name="_Toc256693631"/>
      <w:bookmarkStart w:id="52" w:name="_Toc256695171"/>
      <w:bookmarkStart w:id="53" w:name="_Toc256695487"/>
      <w:r w:rsidR="00376119" w:rsidRPr="00BD0BB8">
        <w:t xml:space="preserve"> </w:t>
      </w:r>
      <w:r w:rsidR="00B71A92" w:rsidRPr="00BD0BB8">
        <w:rPr>
          <w:highlight w:val="yellow"/>
        </w:rPr>
        <w:t xml:space="preserve"> </w:t>
      </w:r>
      <w:r w:rsidR="00B71A92" w:rsidRPr="00BD0BB8">
        <w:t xml:space="preserve"> </w:t>
      </w:r>
    </w:p>
    <w:p w14:paraId="3D0AE2EF" w14:textId="77777777" w:rsidR="00462C16" w:rsidRPr="00BD0BB8" w:rsidRDefault="00BF3AAB" w:rsidP="006A005A">
      <w:pPr>
        <w:pStyle w:val="DA1FirstLevelHeading"/>
        <w:keepNext w:val="0"/>
        <w:widowControl w:val="0"/>
        <w:jc w:val="both"/>
      </w:pPr>
      <w:bookmarkStart w:id="54" w:name="_Ref528935586"/>
      <w:r w:rsidRPr="00BD0BB8">
        <w:t xml:space="preserve">AMENDMENTS TO </w:t>
      </w:r>
      <w:r w:rsidR="00CB4590" w:rsidRPr="00BD0BB8">
        <w:t xml:space="preserve">THIs </w:t>
      </w:r>
      <w:r w:rsidRPr="00BD0BB8">
        <w:t>MOI</w:t>
      </w:r>
      <w:bookmarkEnd w:id="54"/>
    </w:p>
    <w:p w14:paraId="65B0BFB7" w14:textId="725E2255" w:rsidR="00CA30DD" w:rsidRPr="00BD0BB8" w:rsidRDefault="00BF3AAB" w:rsidP="006A005A">
      <w:pPr>
        <w:pStyle w:val="DA2SecondLevel"/>
        <w:keepNext w:val="0"/>
        <w:widowControl w:val="0"/>
        <w:jc w:val="both"/>
      </w:pPr>
      <w:bookmarkStart w:id="55" w:name="_Ref178759331"/>
      <w:bookmarkStart w:id="56" w:name="_Ref178759750"/>
      <w:r w:rsidRPr="00BD0BB8">
        <w:t xml:space="preserve">The Board is empowered to </w:t>
      </w:r>
      <w:r w:rsidR="00462C16" w:rsidRPr="00BD0BB8">
        <w:t xml:space="preserve">correct </w:t>
      </w:r>
      <w:r w:rsidRPr="00BD0BB8">
        <w:t xml:space="preserve">patent </w:t>
      </w:r>
      <w:r w:rsidR="00462C16" w:rsidRPr="00BD0BB8">
        <w:t>errors</w:t>
      </w:r>
      <w:r w:rsidRPr="00BD0BB8">
        <w:t xml:space="preserve"> </w:t>
      </w:r>
      <w:r w:rsidR="00462C16" w:rsidRPr="00BD0BB8">
        <w:t>(including, without limitation,</w:t>
      </w:r>
      <w:r w:rsidR="00237878" w:rsidRPr="00BD0BB8">
        <w:t xml:space="preserve"> in relation to</w:t>
      </w:r>
      <w:r w:rsidR="00462C16" w:rsidRPr="00BD0BB8">
        <w:t xml:space="preserve"> spelling, punctuation, reference, grammar or similar defects) in th</w:t>
      </w:r>
      <w:r w:rsidR="00214537" w:rsidRPr="00BD0BB8">
        <w:t>is</w:t>
      </w:r>
      <w:r w:rsidR="00462C16" w:rsidRPr="00BD0BB8">
        <w:t xml:space="preserve"> </w:t>
      </w:r>
      <w:r w:rsidR="00462C16" w:rsidRPr="00BD0BB8">
        <w:rPr>
          <w:color w:val="auto"/>
        </w:rPr>
        <w:t>MOI</w:t>
      </w:r>
      <w:r w:rsidR="00F14432" w:rsidRPr="00BD0BB8">
        <w:rPr>
          <w:rStyle w:val="FootnoteReference"/>
          <w:color w:val="auto"/>
        </w:rPr>
        <w:footnoteReference w:id="9"/>
      </w:r>
      <w:r w:rsidR="0054616F" w:rsidRPr="00BD0BB8">
        <w:t>, in accordance with section 17(1) of the Act</w:t>
      </w:r>
      <w:r w:rsidR="00214537" w:rsidRPr="00BD0BB8">
        <w:t>.</w:t>
      </w:r>
      <w:bookmarkEnd w:id="55"/>
      <w:bookmarkEnd w:id="56"/>
    </w:p>
    <w:p w14:paraId="48B7C7F7" w14:textId="165400F3" w:rsidR="00214537" w:rsidRPr="00BD0BB8" w:rsidRDefault="00BF3AAB" w:rsidP="006A005A">
      <w:pPr>
        <w:pStyle w:val="DA2SecondLevel"/>
        <w:keepNext w:val="0"/>
        <w:widowControl w:val="0"/>
        <w:jc w:val="both"/>
      </w:pPr>
      <w:bookmarkStart w:id="57" w:name="_Ref453234096"/>
      <w:r w:rsidRPr="00BD0BB8">
        <w:t>Any amendment</w:t>
      </w:r>
      <w:r w:rsidR="007869E8" w:rsidRPr="00BD0BB8">
        <w:t>(s)</w:t>
      </w:r>
      <w:r w:rsidRPr="00BD0BB8">
        <w:t xml:space="preserve"> effected by the Board in accordance with clause </w:t>
      </w:r>
      <w:r w:rsidRPr="00BD0BB8">
        <w:fldChar w:fldCharType="begin"/>
      </w:r>
      <w:r w:rsidRPr="00BD0BB8">
        <w:instrText xml:space="preserve"> REF _Ref178759750 \r \h </w:instrText>
      </w:r>
      <w:r w:rsidR="007A11F0" w:rsidRPr="00BD0BB8">
        <w:instrText xml:space="preserve"> \* MERGEFORMAT </w:instrText>
      </w:r>
      <w:r w:rsidRPr="00BD0BB8">
        <w:fldChar w:fldCharType="separate"/>
      </w:r>
      <w:r w:rsidR="00633773">
        <w:t>3.1</w:t>
      </w:r>
      <w:r w:rsidRPr="00BD0BB8">
        <w:fldChar w:fldCharType="end"/>
      </w:r>
      <w:r w:rsidRPr="00BD0BB8">
        <w:t xml:space="preserve"> shall be </w:t>
      </w:r>
      <w:r w:rsidR="0050570C" w:rsidRPr="00BD0BB8">
        <w:t>notified in Writing</w:t>
      </w:r>
      <w:r w:rsidRPr="00BD0BB8">
        <w:t xml:space="preserve"> by the Board </w:t>
      </w:r>
      <w:r w:rsidR="0050570C" w:rsidRPr="00BD0BB8">
        <w:t>to each Shareholder</w:t>
      </w:r>
      <w:r w:rsidR="00B57091" w:rsidRPr="00BD0BB8">
        <w:t>.</w:t>
      </w:r>
      <w:bookmarkEnd w:id="57"/>
      <w:r w:rsidR="00C835C1" w:rsidRPr="00BD0BB8">
        <w:rPr>
          <w:rStyle w:val="FootnoteReference"/>
          <w:color w:val="auto"/>
        </w:rPr>
        <w:footnoteReference w:id="10"/>
      </w:r>
    </w:p>
    <w:p w14:paraId="4D7F2B91" w14:textId="558AA105" w:rsidR="00727250" w:rsidRPr="00BD0BB8" w:rsidRDefault="00BF3AAB" w:rsidP="006A005A">
      <w:pPr>
        <w:pStyle w:val="DA2SecondLevel"/>
        <w:keepNext w:val="0"/>
        <w:widowControl w:val="0"/>
        <w:jc w:val="both"/>
      </w:pPr>
      <w:r w:rsidRPr="00BD0BB8">
        <w:t xml:space="preserve">Other than amendments contemplated in clause </w:t>
      </w:r>
      <w:r w:rsidRPr="00BD0BB8">
        <w:fldChar w:fldCharType="begin"/>
      </w:r>
      <w:r w:rsidRPr="00BD0BB8">
        <w:instrText xml:space="preserve"> REF _Ref178759331 \r \h </w:instrText>
      </w:r>
      <w:r w:rsidR="007A11F0" w:rsidRPr="00BD0BB8">
        <w:instrText xml:space="preserve"> \* MERGEFORMAT </w:instrText>
      </w:r>
      <w:r w:rsidRPr="00BD0BB8">
        <w:fldChar w:fldCharType="separate"/>
      </w:r>
      <w:r w:rsidR="00633773">
        <w:t>3.1</w:t>
      </w:r>
      <w:r w:rsidRPr="00BD0BB8">
        <w:fldChar w:fldCharType="end"/>
      </w:r>
      <w:r w:rsidRPr="00BD0BB8">
        <w:t xml:space="preserve">, </w:t>
      </w:r>
      <w:r w:rsidR="00462C16" w:rsidRPr="00BD0BB8">
        <w:t xml:space="preserve">all other amendments </w:t>
      </w:r>
      <w:r w:rsidR="00B47944" w:rsidRPr="00BD0BB8">
        <w:t>to this</w:t>
      </w:r>
      <w:r w:rsidR="00462C16" w:rsidRPr="00BD0BB8">
        <w:t xml:space="preserve"> MOI shall be effected in accordance with section 16(1) </w:t>
      </w:r>
      <w:r w:rsidRPr="00BD0BB8">
        <w:t>or</w:t>
      </w:r>
      <w:r w:rsidR="00807F35" w:rsidRPr="00BD0BB8">
        <w:t xml:space="preserve"> section</w:t>
      </w:r>
      <w:r w:rsidRPr="00BD0BB8">
        <w:t xml:space="preserve"> </w:t>
      </w:r>
      <w:r w:rsidR="00B57091" w:rsidRPr="00BD0BB8">
        <w:t>163</w:t>
      </w:r>
      <w:r w:rsidRPr="00BD0BB8">
        <w:t xml:space="preserve"> </w:t>
      </w:r>
      <w:r w:rsidR="00462C16" w:rsidRPr="00BD0BB8">
        <w:t xml:space="preserve">of the </w:t>
      </w:r>
      <w:r w:rsidR="0050570C" w:rsidRPr="00BD0BB8">
        <w:t>Act</w:t>
      </w:r>
      <w:r w:rsidR="00CA30DD" w:rsidRPr="00BD0BB8">
        <w:t>.</w:t>
      </w:r>
      <w:bookmarkStart w:id="58" w:name="_Toc298313071"/>
      <w:r w:rsidR="00C835C1" w:rsidRPr="00BD0BB8">
        <w:rPr>
          <w:rStyle w:val="FootnoteReference"/>
          <w:color w:val="auto"/>
        </w:rPr>
        <w:footnoteReference w:id="11"/>
      </w:r>
    </w:p>
    <w:p w14:paraId="22B7358A" w14:textId="77777777" w:rsidR="00727250" w:rsidRPr="00BD0BB8" w:rsidRDefault="00727250" w:rsidP="006A005A">
      <w:pPr>
        <w:pStyle w:val="DA1FirstLevelHeading"/>
        <w:widowControl w:val="0"/>
        <w:jc w:val="both"/>
        <w:rPr>
          <w:color w:val="auto"/>
        </w:rPr>
      </w:pPr>
      <w:r w:rsidRPr="00BD0BB8">
        <w:lastRenderedPageBreak/>
        <w:t>CONFLICTS WITH THE MOI</w:t>
      </w:r>
      <w:bookmarkEnd w:id="58"/>
    </w:p>
    <w:p w14:paraId="698DBD22" w14:textId="77777777" w:rsidR="00727250" w:rsidRPr="00BD0BB8" w:rsidRDefault="00727250" w:rsidP="006A005A">
      <w:pPr>
        <w:pStyle w:val="DA2SecondLevel"/>
        <w:widowControl w:val="0"/>
        <w:jc w:val="both"/>
      </w:pPr>
      <w:r w:rsidRPr="00BD0BB8">
        <w:t>In accordance with the Act, in any instance where there is a conflict between a provision (be it express or tacit) of this MOI and:</w:t>
      </w:r>
    </w:p>
    <w:p w14:paraId="73163080" w14:textId="34B2A1F7" w:rsidR="00727250" w:rsidRPr="00BD0BB8" w:rsidRDefault="00727250" w:rsidP="006A005A">
      <w:pPr>
        <w:pStyle w:val="DA3Third"/>
      </w:pPr>
      <w:r w:rsidRPr="00BD0BB8">
        <w:t xml:space="preserve">a provision of the Shareholders Agreement, the provision of this MOI shall prevail to the extent of the conflict; </w:t>
      </w:r>
    </w:p>
    <w:p w14:paraId="469CFE59" w14:textId="77777777" w:rsidR="00727250" w:rsidRPr="00BD0BB8" w:rsidRDefault="00727250" w:rsidP="006A005A">
      <w:pPr>
        <w:pStyle w:val="DA3Third"/>
      </w:pPr>
      <w:r w:rsidRPr="00BD0BB8">
        <w:t>an alterable or elective provision of the Act, the provision of this MOI shall prevail to the extent of the conflict, provided that such alterable or elective provision of the Act expressly allows for the Company to adopt the conflicting provision;</w:t>
      </w:r>
      <w:r w:rsidR="00DC1C10" w:rsidRPr="00BD0BB8">
        <w:t xml:space="preserve"> and</w:t>
      </w:r>
    </w:p>
    <w:p w14:paraId="0FD6701B" w14:textId="77777777" w:rsidR="00727250" w:rsidRPr="00BD0BB8" w:rsidRDefault="00727250" w:rsidP="006A005A">
      <w:pPr>
        <w:pStyle w:val="DA3Third"/>
      </w:pPr>
      <w:r w:rsidRPr="00BD0BB8">
        <w:t>an unalterable or non</w:t>
      </w:r>
      <w:r w:rsidRPr="00BD0BB8">
        <w:noBreakHyphen/>
        <w:t>elective provision of the Act, the unalterable or non</w:t>
      </w:r>
      <w:r w:rsidRPr="00BD0BB8">
        <w:noBreakHyphen/>
        <w:t>elective provision of the Act shall prevail to the extent of the conflict.</w:t>
      </w:r>
    </w:p>
    <w:p w14:paraId="30977222" w14:textId="77777777" w:rsidR="00462C16" w:rsidRPr="00BD0BB8" w:rsidRDefault="00BF3AAB" w:rsidP="006A005A">
      <w:pPr>
        <w:pStyle w:val="DA1FirstLevelHeading"/>
        <w:keepNext w:val="0"/>
        <w:widowControl w:val="0"/>
        <w:jc w:val="both"/>
      </w:pPr>
      <w:bookmarkStart w:id="59" w:name="_Ref453235050"/>
      <w:r w:rsidRPr="00BD0BB8">
        <w:t>RULES</w:t>
      </w:r>
      <w:bookmarkEnd w:id="59"/>
    </w:p>
    <w:bookmarkEnd w:id="49"/>
    <w:bookmarkEnd w:id="50"/>
    <w:bookmarkEnd w:id="51"/>
    <w:bookmarkEnd w:id="52"/>
    <w:bookmarkEnd w:id="53"/>
    <w:p w14:paraId="3D025047" w14:textId="6E5D93AB" w:rsidR="00D25550" w:rsidRPr="00BD0BB8" w:rsidRDefault="00BF3AAB" w:rsidP="006A005A">
      <w:pPr>
        <w:pStyle w:val="DA2SecondLevel"/>
        <w:keepNext w:val="0"/>
        <w:widowControl w:val="0"/>
        <w:jc w:val="both"/>
      </w:pPr>
      <w:r w:rsidRPr="00BD0BB8">
        <w:t>The Board shall be entitled and authorised to make Rules</w:t>
      </w:r>
      <w:r w:rsidR="003A42B7" w:rsidRPr="00BD0BB8">
        <w:t>.</w:t>
      </w:r>
      <w:r w:rsidR="00C835C1" w:rsidRPr="00BD0BB8">
        <w:rPr>
          <w:rStyle w:val="FootnoteReference"/>
          <w:color w:val="auto"/>
        </w:rPr>
        <w:footnoteReference w:id="12"/>
      </w:r>
    </w:p>
    <w:p w14:paraId="1CCE8A0A" w14:textId="77777777" w:rsidR="00AD7921" w:rsidRPr="00BD0BB8" w:rsidRDefault="00AD7921" w:rsidP="006A005A">
      <w:pPr>
        <w:pStyle w:val="DA1FirstLevelHeading"/>
        <w:keepNext w:val="0"/>
        <w:widowControl w:val="0"/>
        <w:jc w:val="both"/>
      </w:pPr>
      <w:bookmarkStart w:id="60" w:name="_Hlk109229001"/>
      <w:r w:rsidRPr="00BD0BB8">
        <w:t>Application of optional provisions of the Act</w:t>
      </w:r>
    </w:p>
    <w:p w14:paraId="3A9257BB" w14:textId="1FECD9D1" w:rsidR="00AD7921" w:rsidRPr="008D6950" w:rsidRDefault="00BA2908" w:rsidP="006A005A">
      <w:pPr>
        <w:pStyle w:val="DA2SecondLevel"/>
        <w:keepNext w:val="0"/>
        <w:widowControl w:val="0"/>
        <w:jc w:val="both"/>
      </w:pPr>
      <w:r w:rsidRPr="00BA2908">
        <w:rPr>
          <w:b/>
          <w:bCs w:val="0"/>
        </w:rPr>
        <w:t xml:space="preserve">Financial Statements: </w:t>
      </w:r>
      <w:r w:rsidRPr="008D6950">
        <w:t xml:space="preserve">the </w:t>
      </w:r>
      <w:r w:rsidR="00AD7921" w:rsidRPr="008D6950">
        <w:t xml:space="preserve">Company elects, in terms of section 30(2)(b)(ii), that the annual </w:t>
      </w:r>
      <w:r w:rsidR="004D6700" w:rsidRPr="008D6950">
        <w:t>F</w:t>
      </w:r>
      <w:r w:rsidR="00AD7921" w:rsidRPr="008D6950">
        <w:t xml:space="preserve">inancial </w:t>
      </w:r>
      <w:r w:rsidR="004D6700" w:rsidRPr="008D6950">
        <w:t>S</w:t>
      </w:r>
      <w:r w:rsidR="00AD7921" w:rsidRPr="008D6950">
        <w:t>tatements in respect of any financial year of the Company must be audited</w:t>
      </w:r>
      <w:r w:rsidR="00B07759" w:rsidRPr="008D6950">
        <w:t xml:space="preserve"> or reviewed</w:t>
      </w:r>
      <w:r w:rsidR="00AD7921" w:rsidRPr="008D6950">
        <w:t>.</w:t>
      </w:r>
      <w:r w:rsidR="008D6950">
        <w:rPr>
          <w:rStyle w:val="FootnoteReference"/>
        </w:rPr>
        <w:footnoteReference w:id="13"/>
      </w:r>
      <w:r w:rsidR="003C6110" w:rsidRPr="008D6950">
        <w:t xml:space="preserve"> </w:t>
      </w:r>
      <w:r w:rsidRPr="00BD0BB8">
        <w:t>The Company shall prepare its Financial Statements in accordance with the International Financial Reporting Standards</w:t>
      </w:r>
      <w:r w:rsidR="00DB6D73">
        <w:t xml:space="preserve"> [for Small and Medium Enterprises].</w:t>
      </w:r>
      <w:r w:rsidR="00DB6D73">
        <w:rPr>
          <w:rStyle w:val="FootnoteReference"/>
        </w:rPr>
        <w:footnoteReference w:id="14"/>
      </w:r>
    </w:p>
    <w:bookmarkEnd w:id="60"/>
    <w:p w14:paraId="1B3C8052" w14:textId="77777777" w:rsidR="00AD7921" w:rsidRPr="00BD0BB8" w:rsidRDefault="00AD7921" w:rsidP="006A005A">
      <w:pPr>
        <w:pStyle w:val="DA2SecondLevel"/>
        <w:keepNext w:val="0"/>
        <w:widowControl w:val="0"/>
        <w:jc w:val="both"/>
      </w:pPr>
      <w:r w:rsidRPr="00BD0BB8">
        <w:t>The Company is not required, in terms of section 34(2), to comply with the provisions of Chapter 3 (Enhanced Accountability and Transparency) of the Act.</w:t>
      </w:r>
    </w:p>
    <w:p w14:paraId="7B138607" w14:textId="77777777" w:rsidR="00AD7921" w:rsidRPr="00BD0BB8" w:rsidRDefault="00AD7921" w:rsidP="006A005A">
      <w:pPr>
        <w:pStyle w:val="DA2SecondLevel"/>
        <w:keepNext w:val="0"/>
        <w:widowControl w:val="0"/>
        <w:jc w:val="both"/>
      </w:pPr>
      <w:r w:rsidRPr="00BD0BB8">
        <w:t>The Company does not elect, in terms of section 118(1)(c)(ii), to submit voluntarily to the provisions of Part B (Authority of Panel and Takeover Regulations) and Part C (Regulation of affected transactions and offers) of Chapter 5 of the Act, and to the Takeover Regulations provided for in the Act.</w:t>
      </w:r>
    </w:p>
    <w:p w14:paraId="34D145AF" w14:textId="502A7986" w:rsidR="008D6950" w:rsidRDefault="008D6950" w:rsidP="006A005A">
      <w:pPr>
        <w:spacing w:line="240" w:lineRule="auto"/>
        <w:rPr>
          <w:rFonts w:cs="Arial"/>
          <w:b/>
          <w:bCs/>
          <w:caps/>
          <w:u w:val="single"/>
        </w:rPr>
      </w:pPr>
    </w:p>
    <w:p w14:paraId="3709BC3F" w14:textId="3DBA72C2" w:rsidR="00264FC3" w:rsidRPr="00BD0BB8" w:rsidRDefault="00BF3AAB" w:rsidP="006A005A">
      <w:pPr>
        <w:pStyle w:val="Heading1"/>
        <w:keepNext w:val="0"/>
        <w:widowControl w:val="0"/>
        <w:numPr>
          <w:ilvl w:val="0"/>
          <w:numId w:val="0"/>
        </w:numPr>
        <w:ind w:left="709" w:hanging="709"/>
        <w:jc w:val="both"/>
        <w:rPr>
          <w:rFonts w:ascii="Arial" w:hAnsi="Arial"/>
          <w:color w:val="auto"/>
          <w:u w:val="single"/>
        </w:rPr>
      </w:pPr>
      <w:r w:rsidRPr="00BD0BB8">
        <w:rPr>
          <w:rFonts w:ascii="Arial" w:hAnsi="Arial"/>
          <w:color w:val="auto"/>
          <w:u w:val="single"/>
        </w:rPr>
        <w:lastRenderedPageBreak/>
        <w:t>Part 3</w:t>
      </w:r>
      <w:r w:rsidR="002C1EDA" w:rsidRPr="00BD0BB8">
        <w:rPr>
          <w:rFonts w:ascii="Arial" w:hAnsi="Arial"/>
          <w:color w:val="auto"/>
          <w:u w:val="single"/>
        </w:rPr>
        <w:t xml:space="preserve"> – Securities</w:t>
      </w:r>
    </w:p>
    <w:p w14:paraId="0B87808D" w14:textId="77777777" w:rsidR="00462C16" w:rsidRPr="00BD0BB8" w:rsidRDefault="00BF3AAB" w:rsidP="006A005A">
      <w:pPr>
        <w:pStyle w:val="DA1FirstLevelHeading"/>
        <w:keepNext w:val="0"/>
        <w:widowControl w:val="0"/>
        <w:jc w:val="both"/>
      </w:pPr>
      <w:r w:rsidRPr="00BD0BB8">
        <w:t xml:space="preserve">AUTHORISED </w:t>
      </w:r>
      <w:r w:rsidR="007869E8" w:rsidRPr="00BD0BB8">
        <w:t xml:space="preserve">and issued </w:t>
      </w:r>
      <w:r w:rsidR="00CA30DD" w:rsidRPr="00BD0BB8">
        <w:t>SECURITIES</w:t>
      </w:r>
    </w:p>
    <w:p w14:paraId="2D2BB2B1" w14:textId="60DAC9EB" w:rsidR="00AD7921" w:rsidRPr="00BD0BB8" w:rsidRDefault="00AD7921" w:rsidP="006A005A">
      <w:pPr>
        <w:pStyle w:val="DA2SecondLevel"/>
        <w:keepNext w:val="0"/>
        <w:widowControl w:val="0"/>
        <w:jc w:val="both"/>
      </w:pPr>
      <w:bookmarkStart w:id="61" w:name="_Ref298770507"/>
      <w:bookmarkEnd w:id="61"/>
      <w:r w:rsidRPr="00BD0BB8">
        <w:t>At the date of the adoption of this MOI, the numbers and classes of Shares which the Company is authorised to issue are</w:t>
      </w:r>
      <w:r w:rsidR="0036201D" w:rsidRPr="00BD0BB8">
        <w:rPr>
          <w:rStyle w:val="FootnoteReference"/>
        </w:rPr>
        <w:footnoteReference w:id="15"/>
      </w:r>
      <w:r w:rsidRPr="00BD0BB8">
        <w:t>:</w:t>
      </w:r>
    </w:p>
    <w:p w14:paraId="0072FF6E" w14:textId="13A5AB54" w:rsidR="00AD7921" w:rsidRPr="00BD0BB8" w:rsidRDefault="006A005A" w:rsidP="006A005A">
      <w:pPr>
        <w:pStyle w:val="DA3Third"/>
      </w:pPr>
      <w:r w:rsidRPr="006A005A">
        <w:rPr>
          <w:bCs/>
        </w:rPr>
        <w:t>[●] ([●])</w:t>
      </w:r>
      <w:r w:rsidR="00AD7921" w:rsidRPr="00BD0BB8">
        <w:t xml:space="preserve"> </w:t>
      </w:r>
      <w:r w:rsidR="000B15EF" w:rsidRPr="00BD0BB8">
        <w:t xml:space="preserve">Ordinary </w:t>
      </w:r>
      <w:r w:rsidR="00AD7921" w:rsidRPr="00BD0BB8">
        <w:t>Shares with no par value, having the preferences, rights, limitations and other terms set out in this MOI</w:t>
      </w:r>
      <w:r w:rsidR="00BF5FBD" w:rsidRPr="00BD0BB8">
        <w:t>;</w:t>
      </w:r>
      <w:r w:rsidR="006B6766" w:rsidRPr="00BD0BB8">
        <w:t xml:space="preserve"> and</w:t>
      </w:r>
    </w:p>
    <w:p w14:paraId="56BDCB3E" w14:textId="2798BB2C" w:rsidR="00BF5FBD" w:rsidRPr="00BD0BB8" w:rsidRDefault="006A005A" w:rsidP="006A005A">
      <w:pPr>
        <w:pStyle w:val="DA3Third"/>
      </w:pPr>
      <w:r w:rsidRPr="006A005A">
        <w:rPr>
          <w:bCs/>
        </w:rPr>
        <w:t>[●] ([●])</w:t>
      </w:r>
      <w:r w:rsidR="006314B6" w:rsidRPr="00BD0BB8">
        <w:t xml:space="preserve"> Series A Shares with no par value, having the preferences, rights, limitations and other terms set out in this MOI</w:t>
      </w:r>
      <w:r w:rsidR="006314B6">
        <w:t>]</w:t>
      </w:r>
      <w:r w:rsidR="006314B6" w:rsidRPr="00BD0BB8">
        <w:t xml:space="preserve">.  </w:t>
      </w:r>
    </w:p>
    <w:p w14:paraId="6C63CCC5" w14:textId="77777777" w:rsidR="00AD7921" w:rsidRPr="00BD0BB8" w:rsidRDefault="00AD7921" w:rsidP="006A005A">
      <w:pPr>
        <w:pStyle w:val="DA2SecondLevel"/>
        <w:keepNext w:val="0"/>
        <w:widowControl w:val="0"/>
        <w:jc w:val="both"/>
      </w:pPr>
      <w:r w:rsidRPr="00BD0BB8">
        <w:t xml:space="preserve">Each </w:t>
      </w:r>
      <w:r w:rsidR="000B15EF" w:rsidRPr="00BD0BB8">
        <w:t xml:space="preserve">Ordinary </w:t>
      </w:r>
      <w:r w:rsidRPr="00BD0BB8">
        <w:t>Share entitles the Holder</w:t>
      </w:r>
      <w:r w:rsidR="00A47880" w:rsidRPr="00BD0BB8">
        <w:t xml:space="preserve"> to</w:t>
      </w:r>
      <w:r w:rsidRPr="00BD0BB8">
        <w:t>:</w:t>
      </w:r>
    </w:p>
    <w:p w14:paraId="4BB39089" w14:textId="77777777" w:rsidR="00AD7921" w:rsidRPr="00BD0BB8" w:rsidRDefault="00AD7921" w:rsidP="006A005A">
      <w:pPr>
        <w:pStyle w:val="DA3Third"/>
      </w:pPr>
      <w:r w:rsidRPr="00BD0BB8">
        <w:t xml:space="preserve">the right to be entered in the securities register of the Company as the registered Holders of </w:t>
      </w:r>
      <w:r w:rsidR="000B15EF" w:rsidRPr="00BD0BB8">
        <w:t xml:space="preserve">Ordinary </w:t>
      </w:r>
      <w:r w:rsidRPr="00BD0BB8">
        <w:t>Shares;</w:t>
      </w:r>
    </w:p>
    <w:p w14:paraId="42BCB20F" w14:textId="77777777" w:rsidR="00AD7921" w:rsidRPr="00BD0BB8" w:rsidRDefault="00AD7921" w:rsidP="006A005A">
      <w:pPr>
        <w:pStyle w:val="DA3Third"/>
      </w:pPr>
      <w:r w:rsidRPr="00BD0BB8">
        <w:t>the rights to attend, participate in, speak at and vote on any matter to be considered at, any meeting of Ordinary Shareholders;</w:t>
      </w:r>
    </w:p>
    <w:p w14:paraId="5C07BE91" w14:textId="0D561646" w:rsidR="00AD7921" w:rsidRPr="00BD0BB8" w:rsidRDefault="00AD7921" w:rsidP="006A005A">
      <w:pPr>
        <w:pStyle w:val="DA3Third"/>
      </w:pPr>
      <w:r w:rsidRPr="00BD0BB8">
        <w:t xml:space="preserve">subject to the preferences and rights of the </w:t>
      </w:r>
      <w:r w:rsidR="00983DFB" w:rsidRPr="00BD0BB8">
        <w:t xml:space="preserve">Preference Shares, </w:t>
      </w:r>
      <w:r w:rsidRPr="00BD0BB8">
        <w:t xml:space="preserve">the right to </w:t>
      </w:r>
      <w:bookmarkStart w:id="62" w:name="_Hlk209002615"/>
      <w:r w:rsidRPr="00BD0BB8">
        <w:t>receive any distribution by the Company</w:t>
      </w:r>
      <w:bookmarkEnd w:id="62"/>
      <w:r w:rsidRPr="00BD0BB8">
        <w:t>, if and when declared on the Ordinary Shares, to be made in proportion to the number of Ordinary Shares held by each Ordinary Shareholder;</w:t>
      </w:r>
    </w:p>
    <w:p w14:paraId="3026A7B4" w14:textId="281E0BA1" w:rsidR="00AD7921" w:rsidRPr="00BD0BB8" w:rsidRDefault="00AD7921" w:rsidP="006A005A">
      <w:pPr>
        <w:pStyle w:val="DA3Third"/>
      </w:pPr>
      <w:r w:rsidRPr="00BD0BB8">
        <w:t xml:space="preserve">subject to the preferences and rights of the </w:t>
      </w:r>
      <w:r w:rsidR="00983DFB" w:rsidRPr="00BD0BB8">
        <w:t>Preference Shares</w:t>
      </w:r>
      <w:r w:rsidRPr="00BD0BB8">
        <w:t>, the right to receive a portion of the total net assets of the Company remaining upon its liquidation; and</w:t>
      </w:r>
    </w:p>
    <w:p w14:paraId="55FC74DD" w14:textId="77777777" w:rsidR="00AD7921" w:rsidRPr="00BD0BB8" w:rsidRDefault="00AD7921" w:rsidP="006A005A">
      <w:pPr>
        <w:pStyle w:val="DA3Third"/>
      </w:pPr>
      <w:r w:rsidRPr="00BD0BB8">
        <w:t>any other rights attaching to the Ordinary Share</w:t>
      </w:r>
      <w:r w:rsidR="00DC1C10" w:rsidRPr="00BD0BB8">
        <w:t>s</w:t>
      </w:r>
      <w:r w:rsidRPr="00BD0BB8">
        <w:t xml:space="preserve"> in terms of the Act or any other law.</w:t>
      </w:r>
    </w:p>
    <w:p w14:paraId="5FA3AA9D" w14:textId="5B2BD4AC" w:rsidR="006B6766" w:rsidRPr="00BD0BB8" w:rsidRDefault="006B6766" w:rsidP="006A005A">
      <w:pPr>
        <w:pStyle w:val="DA2SecondLevel"/>
        <w:keepNext w:val="0"/>
        <w:widowControl w:val="0"/>
        <w:jc w:val="both"/>
      </w:pPr>
      <w:bookmarkStart w:id="63" w:name="_Ref453685391"/>
      <w:bookmarkStart w:id="64" w:name="_Ref90017312"/>
      <w:r w:rsidRPr="00BD0BB8">
        <w:t xml:space="preserve">Each </w:t>
      </w:r>
      <w:r w:rsidR="006314B6" w:rsidRPr="000714D2">
        <w:t>Preference Share</w:t>
      </w:r>
      <w:r w:rsidRPr="00BD0BB8">
        <w:t xml:space="preserve"> entitles the Holder to the preferences, rights, limitations, and other terms set out in Annexure A. </w:t>
      </w:r>
    </w:p>
    <w:p w14:paraId="7E36948E" w14:textId="77777777" w:rsidR="008D6950" w:rsidRDefault="008D6950" w:rsidP="006A005A">
      <w:pPr>
        <w:pStyle w:val="DA2SecondLevel"/>
        <w:jc w:val="both"/>
      </w:pPr>
      <w:r>
        <w:lastRenderedPageBreak/>
        <w:t>All Securities of the same class shall rank parri passu in all respects.</w:t>
      </w:r>
    </w:p>
    <w:p w14:paraId="0EEDFF0E" w14:textId="5B5E6C1D" w:rsidR="008D6950" w:rsidRDefault="008D6950" w:rsidP="006A005A">
      <w:pPr>
        <w:pStyle w:val="DA2SecondLevel"/>
        <w:jc w:val="both"/>
      </w:pPr>
      <w:r>
        <w:t xml:space="preserve">All or any of the rights, privileges or conditions for the time being attached to any class of Securities of the Company may (unless otherwise provided by the terms of issue of the Securities of that class), whether or not the Company is being wound up, be varied in any manner (a.) with the consent in Writing of all of the Holders of all the issued Securities of that class  and (b.) subject to the provisions of Annexure B. </w:t>
      </w:r>
    </w:p>
    <w:p w14:paraId="2A384674" w14:textId="1C6D99D5" w:rsidR="00CF5297" w:rsidRPr="00BD0BB8" w:rsidRDefault="00CF5297" w:rsidP="006A005A">
      <w:pPr>
        <w:pStyle w:val="DA2SecondLevel"/>
        <w:keepNext w:val="0"/>
        <w:widowControl w:val="0"/>
        <w:jc w:val="both"/>
      </w:pPr>
      <w:r w:rsidRPr="00BD0BB8">
        <w:t>Notwithstanding section 36(2)(b) and section 36(3) of the Act, the Board shall NOT have the power to amend the authorisation (including increasing or decreasing the number) and classification of Shares (including determining rights and preferences) as contemplated in section 36(2)(b) or section 36(3) of the Act. All the powers contemplated in section 36 (3) shall be reserved for the Shareholders</w:t>
      </w:r>
      <w:r w:rsidR="008D6950">
        <w:t>,</w:t>
      </w:r>
      <w:r w:rsidRPr="00BD0BB8">
        <w:t xml:space="preserve"> to be affected by amendment to the MOI, subject to clause </w:t>
      </w:r>
      <w:r w:rsidR="008D6F0A">
        <w:fldChar w:fldCharType="begin"/>
      </w:r>
      <w:r w:rsidR="008D6F0A">
        <w:instrText xml:space="preserve"> REF _Ref209006932 \r \h </w:instrText>
      </w:r>
      <w:r w:rsidR="006A005A">
        <w:instrText xml:space="preserve"> \* MERGEFORMAT </w:instrText>
      </w:r>
      <w:r w:rsidR="008D6F0A">
        <w:fldChar w:fldCharType="separate"/>
      </w:r>
      <w:r w:rsidR="00633773">
        <w:t>23</w:t>
      </w:r>
      <w:r w:rsidR="008D6F0A">
        <w:fldChar w:fldCharType="end"/>
      </w:r>
      <w:r w:rsidR="008D6F0A">
        <w:t xml:space="preserve"> and Annexure B</w:t>
      </w:r>
      <w:r w:rsidRPr="00BD0BB8">
        <w:t>.</w:t>
      </w:r>
    </w:p>
    <w:bookmarkEnd w:id="63"/>
    <w:bookmarkEnd w:id="64"/>
    <w:p w14:paraId="2D987526" w14:textId="77777777" w:rsidR="00462C16" w:rsidRPr="00BD0BB8" w:rsidRDefault="00BF3AAB" w:rsidP="006A005A">
      <w:pPr>
        <w:pStyle w:val="DA1FirstLevelHeading"/>
        <w:keepNext w:val="0"/>
        <w:widowControl w:val="0"/>
        <w:jc w:val="both"/>
      </w:pPr>
      <w:r w:rsidRPr="00BD0BB8">
        <w:t>AUTHORITY TO ISSUE SECURITIES</w:t>
      </w:r>
    </w:p>
    <w:p w14:paraId="4CD3000E" w14:textId="77777777" w:rsidR="00316902" w:rsidRPr="00BD0BB8" w:rsidRDefault="00BF3AAB" w:rsidP="006A005A">
      <w:pPr>
        <w:pStyle w:val="DA2SecondLevel"/>
        <w:keepNext w:val="0"/>
        <w:widowControl w:val="0"/>
        <w:jc w:val="both"/>
      </w:pPr>
      <w:bookmarkStart w:id="65" w:name="_Ref226376676"/>
      <w:r w:rsidRPr="00BD0BB8">
        <w:t xml:space="preserve">The Board shall </w:t>
      </w:r>
      <w:r w:rsidR="00632B4B" w:rsidRPr="00BD0BB8">
        <w:t>not</w:t>
      </w:r>
      <w:r w:rsidRPr="00BD0BB8">
        <w:t xml:space="preserve"> have the power to issue</w:t>
      </w:r>
      <w:r w:rsidR="00D22DD7" w:rsidRPr="00BD0BB8">
        <w:t>:</w:t>
      </w:r>
      <w:bookmarkEnd w:id="65"/>
    </w:p>
    <w:p w14:paraId="55B5FD57" w14:textId="190CE8C1" w:rsidR="00316902" w:rsidRPr="00BD0BB8" w:rsidRDefault="00BF3AAB" w:rsidP="006A005A">
      <w:pPr>
        <w:pStyle w:val="Heading3"/>
        <w:keepNext w:val="0"/>
        <w:keepLines w:val="0"/>
        <w:widowControl w:val="0"/>
      </w:pPr>
      <w:bookmarkStart w:id="66" w:name="_Ref228286896"/>
      <w:r w:rsidRPr="00BD0BB8">
        <w:t>authorised Shares</w:t>
      </w:r>
      <w:r w:rsidR="00A93561" w:rsidRPr="00BD0BB8">
        <w:rPr>
          <w:rStyle w:val="FootnoteReference"/>
        </w:rPr>
        <w:footnoteReference w:id="16"/>
      </w:r>
      <w:r w:rsidRPr="00BD0BB8">
        <w:t>;</w:t>
      </w:r>
      <w:bookmarkEnd w:id="66"/>
    </w:p>
    <w:p w14:paraId="41C4CDCB" w14:textId="45626E79" w:rsidR="00316902" w:rsidRPr="00BD0BB8" w:rsidRDefault="00BF3AAB" w:rsidP="006A005A">
      <w:pPr>
        <w:pStyle w:val="Heading3"/>
        <w:keepNext w:val="0"/>
        <w:keepLines w:val="0"/>
        <w:widowControl w:val="0"/>
      </w:pPr>
      <w:r w:rsidRPr="00BD0BB8">
        <w:t xml:space="preserve">options relating to the Shares referred to in clause </w:t>
      </w:r>
      <w:r w:rsidR="00882317" w:rsidRPr="00BD0BB8">
        <w:fldChar w:fldCharType="begin"/>
      </w:r>
      <w:r w:rsidR="00882317" w:rsidRPr="00BD0BB8">
        <w:instrText xml:space="preserve"> REF _Ref228286896 \r \h </w:instrText>
      </w:r>
      <w:r w:rsidR="005841B5" w:rsidRPr="00BD0BB8">
        <w:instrText xml:space="preserve"> \* MERGEFORMAT </w:instrText>
      </w:r>
      <w:r w:rsidR="00882317" w:rsidRPr="00BD0BB8">
        <w:fldChar w:fldCharType="separate"/>
      </w:r>
      <w:r w:rsidR="00633773">
        <w:t>8.1.1</w:t>
      </w:r>
      <w:r w:rsidR="00882317" w:rsidRPr="00BD0BB8">
        <w:fldChar w:fldCharType="end"/>
      </w:r>
      <w:r w:rsidR="00882317" w:rsidRPr="00BD0BB8">
        <w:t>;</w:t>
      </w:r>
    </w:p>
    <w:p w14:paraId="3617C0C2" w14:textId="3B9A654A" w:rsidR="00316902" w:rsidRPr="00BD0BB8" w:rsidRDefault="00BF3AAB" w:rsidP="006A005A">
      <w:pPr>
        <w:pStyle w:val="Heading3"/>
        <w:keepNext w:val="0"/>
        <w:keepLines w:val="0"/>
        <w:widowControl w:val="0"/>
      </w:pPr>
      <w:r w:rsidRPr="00BD0BB8">
        <w:t>Shares contemplated in sec</w:t>
      </w:r>
      <w:r w:rsidR="007D295B" w:rsidRPr="00BD0BB8">
        <w:t>tions 41(1) and (3) of the Act;</w:t>
      </w:r>
      <w:r w:rsidR="00A93561" w:rsidRPr="00BD0BB8">
        <w:rPr>
          <w:rStyle w:val="FootnoteReference"/>
        </w:rPr>
        <w:footnoteReference w:id="17"/>
      </w:r>
    </w:p>
    <w:p w14:paraId="484AAE6A" w14:textId="137B1312" w:rsidR="00316902" w:rsidRPr="00BD0BB8" w:rsidRDefault="00BF3AAB" w:rsidP="006A005A">
      <w:pPr>
        <w:pStyle w:val="Heading3"/>
        <w:keepNext w:val="0"/>
        <w:keepLines w:val="0"/>
        <w:widowControl w:val="0"/>
      </w:pPr>
      <w:r w:rsidRPr="00BD0BB8">
        <w:t>secured and unsecured debt instruments to which special privileges are to be granted as contemplated in section 43(3) of the Act</w:t>
      </w:r>
      <w:r w:rsidR="00A93561" w:rsidRPr="00BD0BB8">
        <w:rPr>
          <w:rStyle w:val="FootnoteReference"/>
        </w:rPr>
        <w:footnoteReference w:id="18"/>
      </w:r>
      <w:r w:rsidRPr="00BD0BB8">
        <w:t>;</w:t>
      </w:r>
      <w:r w:rsidR="00027319" w:rsidRPr="00BD0BB8">
        <w:t xml:space="preserve"> and</w:t>
      </w:r>
    </w:p>
    <w:p w14:paraId="7411ED79" w14:textId="77777777" w:rsidR="00316902" w:rsidRPr="00BD0BB8" w:rsidRDefault="00BF3AAB" w:rsidP="006A005A">
      <w:pPr>
        <w:pStyle w:val="Heading3"/>
        <w:keepNext w:val="0"/>
        <w:keepLines w:val="0"/>
        <w:widowControl w:val="0"/>
      </w:pPr>
      <w:r w:rsidRPr="00BD0BB8">
        <w:t>secured and unsecured debt instruments as contemplated in section 43(2)(a) of the Act,</w:t>
      </w:r>
    </w:p>
    <w:p w14:paraId="6ED03A68" w14:textId="77777777" w:rsidR="0070190E" w:rsidRPr="00BD0BB8" w:rsidRDefault="00BF3AAB" w:rsidP="006A005A">
      <w:pPr>
        <w:pStyle w:val="DA2SecondLevel"/>
        <w:keepNext w:val="0"/>
        <w:widowControl w:val="0"/>
        <w:numPr>
          <w:ilvl w:val="0"/>
          <w:numId w:val="0"/>
        </w:numPr>
        <w:ind w:left="1418"/>
        <w:jc w:val="both"/>
        <w:rPr>
          <w:b/>
        </w:rPr>
      </w:pPr>
      <w:r w:rsidRPr="00BD0BB8">
        <w:lastRenderedPageBreak/>
        <w:t xml:space="preserve">without the prior approval of </w:t>
      </w:r>
      <w:r w:rsidR="000435E7" w:rsidRPr="00BD0BB8">
        <w:t xml:space="preserve">a </w:t>
      </w:r>
      <w:r w:rsidRPr="00BD0BB8">
        <w:t>Special Resolution.</w:t>
      </w:r>
    </w:p>
    <w:p w14:paraId="455DA6EF" w14:textId="43ABED9F" w:rsidR="007869E8" w:rsidRPr="00BD0BB8" w:rsidRDefault="00BF3AAB" w:rsidP="006A005A">
      <w:pPr>
        <w:pStyle w:val="DA2SecondLevel"/>
        <w:keepNext w:val="0"/>
        <w:widowControl w:val="0"/>
        <w:jc w:val="both"/>
      </w:pPr>
      <w:r w:rsidRPr="00BD0BB8">
        <w:t xml:space="preserve">Any approval contemplated by clause </w:t>
      </w:r>
      <w:r w:rsidR="00882317" w:rsidRPr="00BD0BB8">
        <w:fldChar w:fldCharType="begin"/>
      </w:r>
      <w:r w:rsidR="00882317" w:rsidRPr="00BD0BB8">
        <w:instrText xml:space="preserve"> REF _Ref226376676 \r \h </w:instrText>
      </w:r>
      <w:r w:rsidR="00AD5D04" w:rsidRPr="00BD0BB8">
        <w:instrText xml:space="preserve"> \* MERGEFORMAT </w:instrText>
      </w:r>
      <w:r w:rsidR="00882317" w:rsidRPr="00BD0BB8">
        <w:fldChar w:fldCharType="separate"/>
      </w:r>
      <w:r w:rsidR="00633773">
        <w:t>8.1</w:t>
      </w:r>
      <w:r w:rsidR="00882317" w:rsidRPr="00BD0BB8">
        <w:fldChar w:fldCharType="end"/>
      </w:r>
      <w:r w:rsidRPr="00BD0BB8">
        <w:t xml:space="preserve"> may be in the form of</w:t>
      </w:r>
      <w:r w:rsidR="00D22DD7" w:rsidRPr="00BD0BB8">
        <w:t>:</w:t>
      </w:r>
    </w:p>
    <w:p w14:paraId="34DA021B" w14:textId="4BCA573D" w:rsidR="007869E8" w:rsidRPr="00BD0BB8" w:rsidRDefault="00BF3AAB" w:rsidP="006A005A">
      <w:pPr>
        <w:pStyle w:val="Heading3"/>
        <w:keepNext w:val="0"/>
        <w:keepLines w:val="0"/>
        <w:widowControl w:val="0"/>
      </w:pPr>
      <w:r w:rsidRPr="00BD0BB8">
        <w:t xml:space="preserve">a general authority to the Directors, </w:t>
      </w:r>
      <w:r w:rsidR="005537E4" w:rsidRPr="00BD0BB8">
        <w:t>whether conditional or unconditional, to issue any of the Shares</w:t>
      </w:r>
      <w:r w:rsidR="00A42C2A" w:rsidRPr="00BD0BB8">
        <w:t>, options or debt instruments</w:t>
      </w:r>
      <w:r w:rsidR="005537E4" w:rsidRPr="00BD0BB8">
        <w:t xml:space="preserve"> contemplated in clauses </w:t>
      </w:r>
      <w:r w:rsidR="00882317" w:rsidRPr="00BD0BB8">
        <w:fldChar w:fldCharType="begin"/>
      </w:r>
      <w:r w:rsidR="00882317" w:rsidRPr="00BD0BB8">
        <w:instrText xml:space="preserve"> REF _Ref226376676 \r \h </w:instrText>
      </w:r>
      <w:r w:rsidR="005841B5" w:rsidRPr="00BD0BB8">
        <w:instrText xml:space="preserve"> \* MERGEFORMAT </w:instrText>
      </w:r>
      <w:r w:rsidR="00882317" w:rsidRPr="00BD0BB8">
        <w:fldChar w:fldCharType="separate"/>
      </w:r>
      <w:r w:rsidR="00633773">
        <w:t>8.1</w:t>
      </w:r>
      <w:r w:rsidR="00882317" w:rsidRPr="00BD0BB8">
        <w:fldChar w:fldCharType="end"/>
      </w:r>
      <w:r w:rsidR="005537E4" w:rsidRPr="00BD0BB8">
        <w:t xml:space="preserve"> in their discretion</w:t>
      </w:r>
      <w:r w:rsidRPr="00BD0BB8">
        <w:t>;</w:t>
      </w:r>
      <w:r w:rsidR="0078510D" w:rsidRPr="00BD0BB8">
        <w:t xml:space="preserve"> or</w:t>
      </w:r>
    </w:p>
    <w:p w14:paraId="2A8F9323" w14:textId="02D1A6EF" w:rsidR="00FD475F" w:rsidRPr="00BD0BB8" w:rsidRDefault="00BF3AAB" w:rsidP="006A005A">
      <w:pPr>
        <w:pStyle w:val="Heading3"/>
        <w:keepNext w:val="0"/>
        <w:keepLines w:val="0"/>
        <w:widowControl w:val="0"/>
      </w:pPr>
      <w:r w:rsidRPr="00BD0BB8">
        <w:t>a specific authority in respect of any particular issue of the Share</w:t>
      </w:r>
      <w:r w:rsidR="00A42C2A" w:rsidRPr="00BD0BB8">
        <w:t>s, options or debt instruments</w:t>
      </w:r>
      <w:r w:rsidRPr="00BD0BB8">
        <w:t xml:space="preserve"> contemplated in clause </w:t>
      </w:r>
      <w:r w:rsidR="00882317" w:rsidRPr="00BD0BB8">
        <w:fldChar w:fldCharType="begin"/>
      </w:r>
      <w:r w:rsidR="00882317" w:rsidRPr="00BD0BB8">
        <w:instrText xml:space="preserve"> REF _Ref226376676 \r \h </w:instrText>
      </w:r>
      <w:r w:rsidR="00AD5D04" w:rsidRPr="00BD0BB8">
        <w:instrText xml:space="preserve"> \* MERGEFORMAT </w:instrText>
      </w:r>
      <w:r w:rsidR="00882317" w:rsidRPr="00BD0BB8">
        <w:fldChar w:fldCharType="separate"/>
      </w:r>
      <w:r w:rsidR="00633773">
        <w:t>8.1</w:t>
      </w:r>
      <w:r w:rsidR="00882317" w:rsidRPr="00BD0BB8">
        <w:fldChar w:fldCharType="end"/>
      </w:r>
      <w:r w:rsidRPr="00BD0BB8">
        <w:t>.</w:t>
      </w:r>
    </w:p>
    <w:p w14:paraId="610C6A92" w14:textId="08A49833" w:rsidR="007869E8" w:rsidRPr="00BD0BB8" w:rsidRDefault="00BF3AAB" w:rsidP="006A005A">
      <w:pPr>
        <w:pStyle w:val="DA2SecondLevel"/>
        <w:keepNext w:val="0"/>
        <w:widowControl w:val="0"/>
        <w:jc w:val="both"/>
      </w:pPr>
      <w:r w:rsidRPr="00BD0BB8">
        <w:t xml:space="preserve">The approval contemplated by clause </w:t>
      </w:r>
      <w:r w:rsidR="00882317" w:rsidRPr="00BD0BB8">
        <w:fldChar w:fldCharType="begin"/>
      </w:r>
      <w:r w:rsidR="00882317" w:rsidRPr="00BD0BB8">
        <w:instrText xml:space="preserve"> REF _Ref226376676 \r \h </w:instrText>
      </w:r>
      <w:r w:rsidR="005841B5" w:rsidRPr="00BD0BB8">
        <w:instrText xml:space="preserve"> \* MERGEFORMAT </w:instrText>
      </w:r>
      <w:r w:rsidR="00882317" w:rsidRPr="00BD0BB8">
        <w:fldChar w:fldCharType="separate"/>
      </w:r>
      <w:r w:rsidR="00633773">
        <w:t>8.1</w:t>
      </w:r>
      <w:r w:rsidR="00882317" w:rsidRPr="00BD0BB8">
        <w:fldChar w:fldCharType="end"/>
      </w:r>
      <w:r w:rsidR="005537E4" w:rsidRPr="00BD0BB8">
        <w:t xml:space="preserve"> sh</w:t>
      </w:r>
      <w:r w:rsidRPr="00BD0BB8">
        <w:t xml:space="preserve">all be effective for the period </w:t>
      </w:r>
      <w:r w:rsidR="005537E4" w:rsidRPr="00BD0BB8">
        <w:t xml:space="preserve">provided in the Special Resolution in </w:t>
      </w:r>
      <w:r w:rsidR="00B44532" w:rsidRPr="00BD0BB8">
        <w:t>question but</w:t>
      </w:r>
      <w:r w:rsidR="005537E4" w:rsidRPr="00BD0BB8">
        <w:t xml:space="preserve"> may be revoked at any time by Special Resolution.</w:t>
      </w:r>
      <w:bookmarkStart w:id="67" w:name="_Ref306185054"/>
      <w:bookmarkStart w:id="68" w:name="_Ref306184890"/>
      <w:bookmarkStart w:id="69" w:name="_Ref178866183"/>
      <w:bookmarkStart w:id="70" w:name="_Ref255721701"/>
    </w:p>
    <w:p w14:paraId="34616078" w14:textId="33BF91CE" w:rsidR="00E82CAB" w:rsidRPr="00BD0BB8" w:rsidRDefault="00BF3AAB" w:rsidP="006A005A">
      <w:pPr>
        <w:pStyle w:val="DA2SecondLevel"/>
        <w:keepNext w:val="0"/>
        <w:widowControl w:val="0"/>
        <w:jc w:val="both"/>
      </w:pPr>
      <w:r w:rsidRPr="00BD0BB8">
        <w:t xml:space="preserve">The Board may issue capitalisation Shares or offer a cash payment in </w:t>
      </w:r>
      <w:r w:rsidRPr="00BD0BB8">
        <w:rPr>
          <w:i/>
        </w:rPr>
        <w:t>lieu</w:t>
      </w:r>
      <w:r w:rsidRPr="00BD0BB8">
        <w:t xml:space="preserve"> of awarding a capitalisation Share in accorda</w:t>
      </w:r>
      <w:bookmarkStart w:id="71" w:name="_Ref230154361"/>
      <w:bookmarkStart w:id="72" w:name="_Ref230259120"/>
      <w:r w:rsidR="00EA731D" w:rsidRPr="00BD0BB8">
        <w:t>nce with section 47 of the Act.</w:t>
      </w:r>
      <w:r w:rsidR="00E46EE6" w:rsidRPr="00BD0BB8">
        <w:rPr>
          <w:rStyle w:val="FootnoteReference"/>
          <w:color w:val="auto"/>
        </w:rPr>
        <w:footnoteReference w:id="19"/>
      </w:r>
    </w:p>
    <w:p w14:paraId="16BEB7FC" w14:textId="77777777" w:rsidR="00462C16" w:rsidRPr="00BD0BB8" w:rsidRDefault="00BF3AAB" w:rsidP="006A005A">
      <w:pPr>
        <w:pStyle w:val="Heading1"/>
        <w:keepNext w:val="0"/>
        <w:widowControl w:val="0"/>
        <w:tabs>
          <w:tab w:val="left" w:pos="851"/>
        </w:tabs>
        <w:jc w:val="both"/>
        <w:rPr>
          <w:rFonts w:ascii="Arial" w:hAnsi="Arial"/>
          <w:color w:val="auto"/>
        </w:rPr>
      </w:pPr>
      <w:bookmarkStart w:id="73" w:name="_Ref244623417"/>
      <w:bookmarkEnd w:id="67"/>
      <w:bookmarkEnd w:id="68"/>
      <w:bookmarkEnd w:id="71"/>
      <w:bookmarkEnd w:id="72"/>
      <w:r w:rsidRPr="00BD0BB8">
        <w:rPr>
          <w:rFonts w:ascii="Arial" w:hAnsi="Arial"/>
          <w:color w:val="auto"/>
        </w:rPr>
        <w:t>PRE</w:t>
      </w:r>
      <w:r w:rsidRPr="00BD0BB8">
        <w:rPr>
          <w:rFonts w:ascii="Arial" w:hAnsi="Arial"/>
          <w:color w:val="auto"/>
        </w:rPr>
        <w:noBreakHyphen/>
        <w:t xml:space="preserve">EMPTION ON ISSUE OF </w:t>
      </w:r>
      <w:bookmarkEnd w:id="69"/>
      <w:bookmarkEnd w:id="73"/>
      <w:r w:rsidR="004A3ABB" w:rsidRPr="00BD0BB8">
        <w:rPr>
          <w:rFonts w:ascii="Arial" w:hAnsi="Arial"/>
          <w:color w:val="auto"/>
        </w:rPr>
        <w:t>SHARES</w:t>
      </w:r>
    </w:p>
    <w:p w14:paraId="2DA4F09A" w14:textId="2E588C7D" w:rsidR="00DE43AA" w:rsidRPr="00BD0BB8" w:rsidRDefault="00DE43AA" w:rsidP="006A005A">
      <w:pPr>
        <w:pStyle w:val="Heading2"/>
        <w:keepNext w:val="0"/>
        <w:widowControl w:val="0"/>
        <w:tabs>
          <w:tab w:val="left" w:pos="1701"/>
        </w:tabs>
        <w:jc w:val="both"/>
        <w:rPr>
          <w:color w:val="auto"/>
          <w:szCs w:val="22"/>
        </w:rPr>
      </w:pPr>
      <w:bookmarkStart w:id="74" w:name="_Ref199575478"/>
      <w:bookmarkStart w:id="75" w:name="_Ref278088423"/>
      <w:bookmarkStart w:id="76" w:name="_Ref178764272"/>
      <w:bookmarkStart w:id="77" w:name="_Ref178866156"/>
      <w:r w:rsidRPr="00BD0BB8">
        <w:rPr>
          <w:color w:val="auto"/>
          <w:szCs w:val="22"/>
        </w:rPr>
        <w:t xml:space="preserve">Save if the Shareholders by Special Resolution approve the issue of Shares for any other purpose without this clause </w:t>
      </w:r>
      <w:r w:rsidR="00197DA9" w:rsidRPr="00BD0BB8">
        <w:rPr>
          <w:color w:val="auto"/>
          <w:szCs w:val="22"/>
        </w:rPr>
        <w:fldChar w:fldCharType="begin"/>
      </w:r>
      <w:r w:rsidR="00197DA9" w:rsidRPr="00BD0BB8">
        <w:rPr>
          <w:color w:val="auto"/>
          <w:szCs w:val="22"/>
        </w:rPr>
        <w:instrText xml:space="preserve">REF _Ref244623417 \r \h </w:instrText>
      </w:r>
      <w:r w:rsidR="005B0E9D" w:rsidRPr="00BD0BB8">
        <w:rPr>
          <w:color w:val="auto"/>
          <w:szCs w:val="22"/>
        </w:rPr>
        <w:instrText xml:space="preserve"> \* MERGEFORMAT </w:instrText>
      </w:r>
      <w:r w:rsidR="00197DA9" w:rsidRPr="00BD0BB8">
        <w:rPr>
          <w:color w:val="auto"/>
          <w:szCs w:val="22"/>
        </w:rPr>
      </w:r>
      <w:r w:rsidR="00197DA9" w:rsidRPr="00BD0BB8">
        <w:rPr>
          <w:color w:val="auto"/>
          <w:szCs w:val="22"/>
        </w:rPr>
        <w:fldChar w:fldCharType="separate"/>
      </w:r>
      <w:r w:rsidR="00633773">
        <w:rPr>
          <w:color w:val="auto"/>
          <w:szCs w:val="22"/>
        </w:rPr>
        <w:t>9</w:t>
      </w:r>
      <w:r w:rsidR="00197DA9" w:rsidRPr="00BD0BB8">
        <w:rPr>
          <w:color w:val="auto"/>
          <w:szCs w:val="22"/>
        </w:rPr>
        <w:fldChar w:fldCharType="end"/>
      </w:r>
      <w:r w:rsidRPr="00BD0BB8">
        <w:rPr>
          <w:color w:val="auto"/>
          <w:szCs w:val="22"/>
        </w:rPr>
        <w:t xml:space="preserve"> applying, each Shareholder has a right, before any other Person who is not a Shareholder, to be offered and within a reasonable period determined by the Board to subscribe for a percentage of the </w:t>
      </w:r>
      <w:r w:rsidR="00197DA9" w:rsidRPr="00BD0BB8">
        <w:rPr>
          <w:color w:val="auto"/>
          <w:szCs w:val="22"/>
        </w:rPr>
        <w:t>Securities</w:t>
      </w:r>
      <w:r w:rsidRPr="00BD0BB8">
        <w:rPr>
          <w:color w:val="auto"/>
          <w:szCs w:val="22"/>
        </w:rPr>
        <w:t xml:space="preserve"> to be issued equal to the Voting Power of that </w:t>
      </w:r>
      <w:r w:rsidR="00197DA9" w:rsidRPr="00BD0BB8">
        <w:rPr>
          <w:color w:val="auto"/>
          <w:szCs w:val="22"/>
        </w:rPr>
        <w:t>Shareholder’s</w:t>
      </w:r>
      <w:r w:rsidRPr="00BD0BB8">
        <w:rPr>
          <w:color w:val="auto"/>
          <w:szCs w:val="22"/>
        </w:rPr>
        <w:t xml:space="preserve"> general Voting Rights immediately before the offer was made.</w:t>
      </w:r>
      <w:bookmarkEnd w:id="74"/>
      <w:r w:rsidR="00487344" w:rsidRPr="00BD0BB8">
        <w:rPr>
          <w:rStyle w:val="FootnoteReference"/>
          <w:color w:val="auto"/>
          <w:szCs w:val="22"/>
        </w:rPr>
        <w:footnoteReference w:id="20"/>
      </w:r>
    </w:p>
    <w:p w14:paraId="2BAF044F" w14:textId="5D2D8ECF" w:rsidR="00DE43AA" w:rsidRPr="00BD0BB8" w:rsidRDefault="00DE43AA" w:rsidP="006A005A">
      <w:pPr>
        <w:pStyle w:val="Heading2"/>
        <w:keepNext w:val="0"/>
        <w:widowControl w:val="0"/>
        <w:tabs>
          <w:tab w:val="left" w:pos="1701"/>
        </w:tabs>
        <w:jc w:val="both"/>
        <w:rPr>
          <w:color w:val="auto"/>
          <w:szCs w:val="22"/>
        </w:rPr>
      </w:pPr>
      <w:bookmarkStart w:id="78" w:name="_Ref81985549"/>
      <w:bookmarkEnd w:id="75"/>
      <w:bookmarkEnd w:id="76"/>
      <w:bookmarkEnd w:id="77"/>
      <w:r w:rsidRPr="00BD0BB8">
        <w:rPr>
          <w:color w:val="auto"/>
          <w:szCs w:val="22"/>
        </w:rPr>
        <w:t>The</w:t>
      </w:r>
      <w:r w:rsidRPr="00BD0BB8">
        <w:rPr>
          <w:i/>
          <w:color w:val="auto"/>
          <w:szCs w:val="22"/>
        </w:rPr>
        <w:t xml:space="preserve"> </w:t>
      </w:r>
      <w:r w:rsidRPr="00BD0BB8">
        <w:rPr>
          <w:color w:val="auto"/>
          <w:szCs w:val="22"/>
        </w:rPr>
        <w:t xml:space="preserve">offer to the Shareholders referred to in clause </w:t>
      </w:r>
      <w:r w:rsidR="00197DA9" w:rsidRPr="00BD0BB8">
        <w:rPr>
          <w:color w:val="auto"/>
          <w:szCs w:val="22"/>
        </w:rPr>
        <w:fldChar w:fldCharType="begin"/>
      </w:r>
      <w:r w:rsidR="00197DA9" w:rsidRPr="00BD0BB8">
        <w:rPr>
          <w:color w:val="auto"/>
          <w:szCs w:val="22"/>
        </w:rPr>
        <w:instrText xml:space="preserve">REF _Ref199575478 \r \h </w:instrText>
      </w:r>
      <w:r w:rsidR="00CC0AE9" w:rsidRPr="00BD0BB8">
        <w:rPr>
          <w:color w:val="auto"/>
          <w:szCs w:val="22"/>
        </w:rPr>
        <w:instrText xml:space="preserve"> \* MERGEFORMAT </w:instrText>
      </w:r>
      <w:r w:rsidR="00197DA9" w:rsidRPr="00BD0BB8">
        <w:rPr>
          <w:color w:val="auto"/>
          <w:szCs w:val="22"/>
        </w:rPr>
      </w:r>
      <w:r w:rsidR="00197DA9" w:rsidRPr="00BD0BB8">
        <w:rPr>
          <w:color w:val="auto"/>
          <w:szCs w:val="22"/>
        </w:rPr>
        <w:fldChar w:fldCharType="separate"/>
      </w:r>
      <w:r w:rsidR="00633773">
        <w:rPr>
          <w:color w:val="auto"/>
          <w:szCs w:val="22"/>
        </w:rPr>
        <w:t>9.1</w:t>
      </w:r>
      <w:r w:rsidR="00197DA9" w:rsidRPr="00BD0BB8">
        <w:rPr>
          <w:color w:val="auto"/>
          <w:szCs w:val="22"/>
        </w:rPr>
        <w:fldChar w:fldCharType="end"/>
      </w:r>
      <w:r w:rsidRPr="00BD0BB8">
        <w:rPr>
          <w:color w:val="auto"/>
          <w:szCs w:val="22"/>
        </w:rPr>
        <w:t xml:space="preserve"> shall be Delivered in Writing specifying:</w:t>
      </w:r>
      <w:bookmarkEnd w:id="78"/>
    </w:p>
    <w:p w14:paraId="744525A9" w14:textId="77777777" w:rsidR="00DE43AA" w:rsidRPr="00BD0BB8" w:rsidRDefault="00DE43AA" w:rsidP="006A005A">
      <w:pPr>
        <w:pStyle w:val="Heading3"/>
        <w:keepNext w:val="0"/>
        <w:keepLines w:val="0"/>
        <w:widowControl w:val="0"/>
      </w:pPr>
      <w:r w:rsidRPr="00BD0BB8">
        <w:t>the number of Securities offered;</w:t>
      </w:r>
    </w:p>
    <w:p w14:paraId="1BC2B1DE" w14:textId="77777777" w:rsidR="00DE43AA" w:rsidRPr="00BD0BB8" w:rsidRDefault="00DE43AA" w:rsidP="006A005A">
      <w:pPr>
        <w:pStyle w:val="Heading3"/>
        <w:keepNext w:val="0"/>
        <w:keepLines w:val="0"/>
        <w:widowControl w:val="0"/>
      </w:pPr>
      <w:r w:rsidRPr="00BD0BB8">
        <w:t xml:space="preserve">a reasonable time, determined by the Board, by which the offer must be </w:t>
      </w:r>
      <w:r w:rsidRPr="00BD0BB8">
        <w:lastRenderedPageBreak/>
        <w:t>accepted; and</w:t>
      </w:r>
    </w:p>
    <w:p w14:paraId="172E53AA" w14:textId="77777777" w:rsidR="00DE43AA" w:rsidRPr="00BD0BB8" w:rsidRDefault="00DE43AA" w:rsidP="006A005A">
      <w:pPr>
        <w:pStyle w:val="Heading3"/>
        <w:keepNext w:val="0"/>
        <w:keepLines w:val="0"/>
        <w:widowControl w:val="0"/>
      </w:pPr>
      <w:r w:rsidRPr="00BD0BB8">
        <w:t>the requisite portion of the subscription price to be paid, failing which the offer shall be deemed to have been rejected.</w:t>
      </w:r>
    </w:p>
    <w:p w14:paraId="674C5535" w14:textId="3A28AD01" w:rsidR="00DE43AA" w:rsidRPr="00BD0BB8" w:rsidRDefault="00DE43AA" w:rsidP="006A005A">
      <w:pPr>
        <w:pStyle w:val="Heading2"/>
        <w:keepNext w:val="0"/>
        <w:widowControl w:val="0"/>
        <w:tabs>
          <w:tab w:val="left" w:pos="1701"/>
        </w:tabs>
        <w:jc w:val="both"/>
        <w:rPr>
          <w:color w:val="auto"/>
          <w:szCs w:val="22"/>
        </w:rPr>
      </w:pPr>
      <w:r w:rsidRPr="00BD0BB8">
        <w:rPr>
          <w:color w:val="auto"/>
          <w:szCs w:val="22"/>
        </w:rPr>
        <w:t xml:space="preserve">In exercising a right in terms of clause </w:t>
      </w:r>
      <w:r w:rsidRPr="00BD0BB8">
        <w:rPr>
          <w:color w:val="auto"/>
          <w:szCs w:val="22"/>
        </w:rPr>
        <w:fldChar w:fldCharType="begin"/>
      </w:r>
      <w:r w:rsidRPr="00BD0BB8">
        <w:rPr>
          <w:szCs w:val="22"/>
          <w:lang w:val="en-US" w:eastAsia="en-ZA"/>
        </w:rPr>
        <w:instrText xml:space="preserve"> REF _Ref199575478 \r \h  \* MERGEFORMAT </w:instrText>
      </w:r>
      <w:r w:rsidRPr="00BD0BB8">
        <w:rPr>
          <w:color w:val="auto"/>
          <w:szCs w:val="22"/>
        </w:rPr>
      </w:r>
      <w:r w:rsidRPr="00BD0BB8">
        <w:rPr>
          <w:color w:val="auto"/>
          <w:szCs w:val="22"/>
        </w:rPr>
        <w:fldChar w:fldCharType="separate"/>
      </w:r>
      <w:r w:rsidR="00633773" w:rsidRPr="00633773">
        <w:rPr>
          <w:color w:val="auto"/>
          <w:szCs w:val="22"/>
        </w:rPr>
        <w:t>9.1</w:t>
      </w:r>
      <w:r w:rsidRPr="00BD0BB8">
        <w:rPr>
          <w:color w:val="auto"/>
          <w:szCs w:val="22"/>
        </w:rPr>
        <w:fldChar w:fldCharType="end"/>
      </w:r>
      <w:r w:rsidRPr="00BD0BB8">
        <w:rPr>
          <w:color w:val="auto"/>
          <w:szCs w:val="22"/>
        </w:rPr>
        <w:t xml:space="preserve">, a Shareholder may subscribe for fewer </w:t>
      </w:r>
      <w:r w:rsidR="00197DA9" w:rsidRPr="00BD0BB8">
        <w:rPr>
          <w:color w:val="auto"/>
          <w:szCs w:val="22"/>
        </w:rPr>
        <w:t>Securities</w:t>
      </w:r>
      <w:r w:rsidRPr="00BD0BB8">
        <w:rPr>
          <w:color w:val="auto"/>
          <w:szCs w:val="22"/>
        </w:rPr>
        <w:t xml:space="preserve"> than the Shareholder would be entitled to subscribe for under that clause.</w:t>
      </w:r>
    </w:p>
    <w:p w14:paraId="766DB1C9" w14:textId="1515C0B0" w:rsidR="00B33D8B" w:rsidRPr="00BD0BB8" w:rsidRDefault="00DE43AA" w:rsidP="006A005A">
      <w:pPr>
        <w:pStyle w:val="Heading2"/>
        <w:keepNext w:val="0"/>
        <w:widowControl w:val="0"/>
        <w:tabs>
          <w:tab w:val="left" w:pos="1701"/>
        </w:tabs>
        <w:jc w:val="both"/>
        <w:rPr>
          <w:color w:val="auto"/>
          <w:szCs w:val="22"/>
        </w:rPr>
      </w:pPr>
      <w:r w:rsidRPr="00BD0BB8">
        <w:rPr>
          <w:color w:val="auto"/>
          <w:szCs w:val="22"/>
        </w:rPr>
        <w:t xml:space="preserve">After the expiration of the time within which an offer may be accepted, or on the receipt of a reasonable indication from the Person to who the offer is made that he/she/it declines to accept the </w:t>
      </w:r>
      <w:r w:rsidR="00197DA9" w:rsidRPr="00BD0BB8">
        <w:rPr>
          <w:color w:val="auto"/>
          <w:szCs w:val="22"/>
        </w:rPr>
        <w:t>Securities offered, the Directors may issue such Securities on terms that they resolve to be most favourable to the Company.</w:t>
      </w:r>
      <w:bookmarkStart w:id="79" w:name="_Ref446590472"/>
      <w:bookmarkEnd w:id="79"/>
      <w:r w:rsidR="00A250D4" w:rsidRPr="00BD0BB8">
        <w:rPr>
          <w:szCs w:val="22"/>
        </w:rPr>
        <w:t xml:space="preserve"> </w:t>
      </w:r>
      <w:r w:rsidR="00A250D4" w:rsidRPr="00BD0BB8">
        <w:rPr>
          <w:rStyle w:val="FootnoteReference"/>
          <w:color w:val="auto"/>
          <w:szCs w:val="22"/>
        </w:rPr>
        <w:footnoteReference w:id="21"/>
      </w:r>
    </w:p>
    <w:p w14:paraId="4D7B82C9" w14:textId="77777777" w:rsidR="00333A97" w:rsidRPr="00BD0BB8" w:rsidRDefault="00197DA9" w:rsidP="006A005A">
      <w:pPr>
        <w:pStyle w:val="Heading1"/>
        <w:keepNext w:val="0"/>
        <w:widowControl w:val="0"/>
        <w:tabs>
          <w:tab w:val="left" w:pos="851"/>
        </w:tabs>
        <w:jc w:val="both"/>
        <w:rPr>
          <w:rFonts w:ascii="Arial" w:hAnsi="Arial"/>
          <w:color w:val="auto"/>
        </w:rPr>
      </w:pPr>
      <w:bookmarkStart w:id="80" w:name="_Ref452119655"/>
      <w:bookmarkStart w:id="81" w:name="_Ref209004800"/>
      <w:r w:rsidRPr="00BD0BB8">
        <w:rPr>
          <w:rFonts w:ascii="Arial" w:hAnsi="Arial"/>
          <w:color w:val="auto"/>
        </w:rPr>
        <w:t xml:space="preserve">PRE-EMPTION ON </w:t>
      </w:r>
      <w:r w:rsidR="00BF3AAB" w:rsidRPr="00BD0BB8">
        <w:rPr>
          <w:rFonts w:ascii="Arial" w:hAnsi="Arial"/>
          <w:color w:val="auto"/>
        </w:rPr>
        <w:t xml:space="preserve">TRANSFER OF </w:t>
      </w:r>
      <w:r w:rsidR="00376119" w:rsidRPr="00BD0BB8">
        <w:rPr>
          <w:rFonts w:ascii="Arial" w:hAnsi="Arial"/>
          <w:color w:val="auto"/>
        </w:rPr>
        <w:t>SECURITIES</w:t>
      </w:r>
      <w:bookmarkEnd w:id="80"/>
      <w:r w:rsidR="00376119" w:rsidRPr="00BD0BB8">
        <w:rPr>
          <w:rFonts w:ascii="Arial" w:hAnsi="Arial"/>
          <w:color w:val="auto"/>
        </w:rPr>
        <w:t xml:space="preserve"> </w:t>
      </w:r>
      <w:r w:rsidR="00487344" w:rsidRPr="00BD0BB8">
        <w:rPr>
          <w:rStyle w:val="FootnoteReference"/>
          <w:rFonts w:ascii="Arial" w:hAnsi="Arial"/>
          <w:color w:val="auto"/>
        </w:rPr>
        <w:footnoteReference w:id="22"/>
      </w:r>
      <w:bookmarkEnd w:id="81"/>
    </w:p>
    <w:p w14:paraId="16553735" w14:textId="0B8202E8" w:rsidR="00333A97" w:rsidRPr="00BD0BB8" w:rsidRDefault="00197DA9" w:rsidP="006A005A">
      <w:pPr>
        <w:pStyle w:val="Heading2"/>
        <w:keepNext w:val="0"/>
        <w:widowControl w:val="0"/>
        <w:tabs>
          <w:tab w:val="left" w:pos="1701"/>
        </w:tabs>
        <w:jc w:val="both"/>
        <w:rPr>
          <w:color w:val="auto"/>
          <w:szCs w:val="22"/>
        </w:rPr>
      </w:pPr>
      <w:r w:rsidRPr="00BD0BB8">
        <w:rPr>
          <w:color w:val="auto"/>
          <w:szCs w:val="22"/>
        </w:rPr>
        <w:t>Unless otherwise agreed in Writing by all the Shareholders:</w:t>
      </w:r>
    </w:p>
    <w:p w14:paraId="5E33AC17" w14:textId="1F122D1C" w:rsidR="00333A97" w:rsidRPr="00BD0BB8" w:rsidRDefault="00197DA9" w:rsidP="006A005A">
      <w:pPr>
        <w:pStyle w:val="Heading3"/>
        <w:keepNext w:val="0"/>
        <w:keepLines w:val="0"/>
        <w:widowControl w:val="0"/>
      </w:pPr>
      <w:r w:rsidRPr="00BD0BB8">
        <w:t>a Shareholder may sell or otherwise dispose of, or transfer (in the widest sense, including but not limited to by donation, dividend or by way of the terms of a last will and testament), any Shares held by it only in terms of this clause</w:t>
      </w:r>
      <w:r w:rsidR="001D2755">
        <w:t xml:space="preserve"> </w:t>
      </w:r>
      <w:r w:rsidR="008D6F0A">
        <w:fldChar w:fldCharType="begin"/>
      </w:r>
      <w:r w:rsidR="008D6F0A">
        <w:instrText xml:space="preserve"> REF _Ref209004800 \r \h </w:instrText>
      </w:r>
      <w:r w:rsidR="006A005A">
        <w:instrText xml:space="preserve"> \* MERGEFORMAT </w:instrText>
      </w:r>
      <w:r w:rsidR="008D6F0A">
        <w:fldChar w:fldCharType="separate"/>
      </w:r>
      <w:r w:rsidR="00633773">
        <w:t>10</w:t>
      </w:r>
      <w:r w:rsidR="008D6F0A">
        <w:fldChar w:fldCharType="end"/>
      </w:r>
      <w:r w:rsidRPr="00BD0BB8">
        <w:t>, any other provision of this MOI specifically providing for disposal and/or any Shareholders' Agreement; and</w:t>
      </w:r>
    </w:p>
    <w:p w14:paraId="7F5DE543" w14:textId="77777777" w:rsidR="00333A97" w:rsidRPr="00BD0BB8" w:rsidRDefault="00197DA9" w:rsidP="006A005A">
      <w:pPr>
        <w:pStyle w:val="Heading3"/>
        <w:keepNext w:val="0"/>
        <w:keepLines w:val="0"/>
        <w:widowControl w:val="0"/>
      </w:pPr>
      <w:r w:rsidRPr="00BD0BB8">
        <w:t xml:space="preserve">only if, in one and the same transaction, it sells, disposes of or alienates a </w:t>
      </w:r>
      <w:r w:rsidRPr="00BD0BB8">
        <w:rPr>
          <w:i/>
        </w:rPr>
        <w:t>pro rata</w:t>
      </w:r>
      <w:r w:rsidRPr="00BD0BB8">
        <w:t xml:space="preserve"> share of its Loan Account.</w:t>
      </w:r>
      <w:bookmarkStart w:id="82" w:name="_Ref446599175"/>
      <w:bookmarkEnd w:id="82"/>
    </w:p>
    <w:p w14:paraId="503145A8" w14:textId="19932A0E" w:rsidR="00333A97" w:rsidRPr="00BD0BB8" w:rsidRDefault="00197DA9" w:rsidP="006A005A">
      <w:pPr>
        <w:pStyle w:val="Heading2"/>
        <w:keepNext w:val="0"/>
        <w:widowControl w:val="0"/>
        <w:tabs>
          <w:tab w:val="left" w:pos="1701"/>
        </w:tabs>
        <w:jc w:val="both"/>
        <w:rPr>
          <w:color w:val="auto"/>
          <w:szCs w:val="22"/>
        </w:rPr>
      </w:pPr>
      <w:bookmarkStart w:id="83" w:name="_Ref445459374"/>
      <w:bookmarkEnd w:id="83"/>
      <w:r w:rsidRPr="00BD0BB8">
        <w:rPr>
          <w:color w:val="auto"/>
          <w:szCs w:val="22"/>
        </w:rPr>
        <w:t>Subject to the provisions of clause </w:t>
      </w:r>
      <w:r w:rsidRPr="00BD0BB8">
        <w:rPr>
          <w:color w:val="auto"/>
          <w:szCs w:val="22"/>
        </w:rPr>
        <w:fldChar w:fldCharType="begin"/>
      </w:r>
      <w:r w:rsidRPr="00BD0BB8">
        <w:rPr>
          <w:color w:val="auto"/>
          <w:szCs w:val="22"/>
        </w:rPr>
        <w:instrText xml:space="preserve">REF _Ref446600276 \r \h  \* MERGEFORMAT </w:instrText>
      </w:r>
      <w:r w:rsidRPr="00BD0BB8">
        <w:rPr>
          <w:color w:val="auto"/>
          <w:szCs w:val="22"/>
        </w:rPr>
      </w:r>
      <w:r w:rsidRPr="00BD0BB8">
        <w:rPr>
          <w:color w:val="auto"/>
          <w:szCs w:val="22"/>
        </w:rPr>
        <w:fldChar w:fldCharType="separate"/>
      </w:r>
      <w:r w:rsidR="00633773">
        <w:rPr>
          <w:b/>
          <w:bCs w:val="0"/>
          <w:color w:val="auto"/>
          <w:szCs w:val="22"/>
          <w:lang w:val="en-US"/>
        </w:rPr>
        <w:t>Error! Reference source not found.</w:t>
      </w:r>
      <w:r w:rsidRPr="00BD0BB8">
        <w:rPr>
          <w:color w:val="auto"/>
          <w:szCs w:val="22"/>
        </w:rPr>
        <w:fldChar w:fldCharType="end"/>
      </w:r>
      <w:r w:rsidRPr="00BD0BB8">
        <w:rPr>
          <w:color w:val="auto"/>
          <w:szCs w:val="22"/>
        </w:rPr>
        <w:t>, a Share may be transferred (</w:t>
      </w:r>
      <w:r w:rsidRPr="00BD0BB8">
        <w:rPr>
          <w:color w:val="auto"/>
          <w:szCs w:val="22"/>
          <w:u w:val="single"/>
        </w:rPr>
        <w:t>without</w:t>
      </w:r>
      <w:r w:rsidRPr="00BD0BB8">
        <w:rPr>
          <w:color w:val="auto"/>
          <w:szCs w:val="22"/>
        </w:rPr>
        <w:t xml:space="preserve"> compliance with clause </w:t>
      </w:r>
      <w:r w:rsidRPr="00BD0BB8">
        <w:rPr>
          <w:color w:val="auto"/>
          <w:szCs w:val="22"/>
        </w:rPr>
        <w:fldChar w:fldCharType="begin"/>
      </w:r>
      <w:r w:rsidRPr="00BD0BB8">
        <w:rPr>
          <w:color w:val="auto"/>
          <w:szCs w:val="22"/>
        </w:rPr>
        <w:instrText xml:space="preserve">REF _Ref446596843 \r \h  \* MERGEFORMAT </w:instrText>
      </w:r>
      <w:r w:rsidRPr="00BD0BB8">
        <w:rPr>
          <w:color w:val="auto"/>
          <w:szCs w:val="22"/>
        </w:rPr>
      </w:r>
      <w:r w:rsidRPr="00BD0BB8">
        <w:rPr>
          <w:color w:val="auto"/>
          <w:szCs w:val="22"/>
        </w:rPr>
        <w:fldChar w:fldCharType="separate"/>
      </w:r>
      <w:r w:rsidR="00633773">
        <w:rPr>
          <w:color w:val="auto"/>
          <w:szCs w:val="22"/>
        </w:rPr>
        <w:t>10.3</w:t>
      </w:r>
      <w:r w:rsidRPr="00BD0BB8">
        <w:rPr>
          <w:color w:val="auto"/>
          <w:szCs w:val="22"/>
        </w:rPr>
        <w:fldChar w:fldCharType="end"/>
      </w:r>
      <w:r w:rsidR="00D122CC" w:rsidRPr="00BD0BB8">
        <w:rPr>
          <w:color w:val="auto"/>
          <w:szCs w:val="22"/>
        </w:rPr>
        <w:t>)</w:t>
      </w:r>
      <w:r w:rsidRPr="00BD0BB8">
        <w:rPr>
          <w:color w:val="auto"/>
          <w:szCs w:val="22"/>
        </w:rPr>
        <w:t>:</w:t>
      </w:r>
      <w:bookmarkStart w:id="84" w:name="_Ref211932864"/>
      <w:bookmarkEnd w:id="84"/>
    </w:p>
    <w:p w14:paraId="0D4A23DD" w14:textId="77777777" w:rsidR="00333A97" w:rsidRPr="00BD0BB8" w:rsidRDefault="00197DA9" w:rsidP="006A005A">
      <w:pPr>
        <w:pStyle w:val="Heading3"/>
        <w:keepNext w:val="0"/>
        <w:keepLines w:val="0"/>
        <w:widowControl w:val="0"/>
      </w:pPr>
      <w:r w:rsidRPr="00BD0BB8">
        <w:t>from any Shareholder:</w:t>
      </w:r>
    </w:p>
    <w:p w14:paraId="704E82FD" w14:textId="77777777" w:rsidR="00333A97" w:rsidRPr="00BD0BB8" w:rsidRDefault="00197DA9" w:rsidP="006A005A">
      <w:pPr>
        <w:pStyle w:val="Heading4"/>
        <w:rPr>
          <w:rFonts w:cs="Arial"/>
          <w:szCs w:val="22"/>
        </w:rPr>
      </w:pPr>
      <w:bookmarkStart w:id="85" w:name="_Ref417380347"/>
      <w:bookmarkStart w:id="86" w:name="_Ref445459214"/>
      <w:bookmarkEnd w:id="85"/>
      <w:bookmarkEnd w:id="86"/>
      <w:r w:rsidRPr="00BD0BB8">
        <w:rPr>
          <w:rFonts w:cs="Arial"/>
          <w:szCs w:val="22"/>
        </w:rPr>
        <w:t xml:space="preserve">to the trustee </w:t>
      </w:r>
      <w:r w:rsidRPr="00BD0BB8">
        <w:rPr>
          <w:rFonts w:cs="Arial"/>
          <w:i/>
          <w:szCs w:val="22"/>
        </w:rPr>
        <w:t>nomine officio</w:t>
      </w:r>
      <w:r w:rsidRPr="00BD0BB8">
        <w:rPr>
          <w:rFonts w:cs="Arial"/>
          <w:szCs w:val="22"/>
        </w:rPr>
        <w:t xml:space="preserve"> of a trust established primarily for the benefit of one or more of any Immediate Relations and/or any descendant of the Shareholder and/or the Shareholder, and </w:t>
      </w:r>
      <w:r w:rsidRPr="00BD0BB8">
        <w:rPr>
          <w:rFonts w:cs="Arial"/>
          <w:i/>
          <w:szCs w:val="22"/>
        </w:rPr>
        <w:t>vice versa</w:t>
      </w:r>
      <w:r w:rsidRPr="00BD0BB8">
        <w:rPr>
          <w:rFonts w:cs="Arial"/>
          <w:szCs w:val="22"/>
        </w:rPr>
        <w:t>; and/or</w:t>
      </w:r>
    </w:p>
    <w:p w14:paraId="0F041C79" w14:textId="31D721CE" w:rsidR="00333A97" w:rsidRPr="00BD0BB8" w:rsidRDefault="00197DA9" w:rsidP="006A005A">
      <w:pPr>
        <w:pStyle w:val="Heading4"/>
        <w:rPr>
          <w:rFonts w:cs="Arial"/>
          <w:szCs w:val="22"/>
        </w:rPr>
      </w:pPr>
      <w:bookmarkStart w:id="87" w:name="_Ref525879753"/>
      <w:bookmarkEnd w:id="87"/>
      <w:r w:rsidRPr="00BD0BB8">
        <w:rPr>
          <w:rFonts w:cs="Arial"/>
          <w:szCs w:val="22"/>
        </w:rPr>
        <w:t xml:space="preserve">to any private company and/or close corporation, all the shares of </w:t>
      </w:r>
      <w:r w:rsidRPr="00BD0BB8">
        <w:rPr>
          <w:rFonts w:cs="Arial"/>
          <w:szCs w:val="22"/>
        </w:rPr>
        <w:lastRenderedPageBreak/>
        <w:t>all classes of which are, and/or the entire interest in which is, held and beneficially owned by the Shareholder and/or that Shareholder’s Immediate Relations and/or trustees as are referred to in clause </w:t>
      </w:r>
      <w:r w:rsidRPr="00BD0BB8">
        <w:rPr>
          <w:rFonts w:cs="Arial"/>
          <w:szCs w:val="22"/>
        </w:rPr>
        <w:fldChar w:fldCharType="begin"/>
      </w:r>
      <w:r w:rsidRPr="00BD0BB8">
        <w:rPr>
          <w:rFonts w:cs="Arial"/>
          <w:szCs w:val="22"/>
        </w:rPr>
        <w:instrText xml:space="preserve">REF _Ref445459214 \r \h </w:instrText>
      </w:r>
      <w:r w:rsidR="00CC0AE9" w:rsidRPr="00BD0BB8">
        <w:rPr>
          <w:rFonts w:cs="Arial"/>
          <w:szCs w:val="22"/>
        </w:rPr>
        <w:instrText xml:space="preserve"> \* MERGEFORMAT </w:instrText>
      </w:r>
      <w:r w:rsidRPr="00BD0BB8">
        <w:rPr>
          <w:rFonts w:cs="Arial"/>
          <w:szCs w:val="22"/>
        </w:rPr>
      </w:r>
      <w:r w:rsidRPr="00BD0BB8">
        <w:rPr>
          <w:rFonts w:cs="Arial"/>
          <w:szCs w:val="22"/>
        </w:rPr>
        <w:fldChar w:fldCharType="separate"/>
      </w:r>
      <w:r w:rsidR="00633773">
        <w:rPr>
          <w:rFonts w:cs="Arial"/>
          <w:szCs w:val="22"/>
        </w:rPr>
        <w:t>10.2.1.1</w:t>
      </w:r>
      <w:r w:rsidRPr="00BD0BB8">
        <w:rPr>
          <w:rFonts w:cs="Arial"/>
          <w:szCs w:val="22"/>
        </w:rPr>
        <w:fldChar w:fldCharType="end"/>
      </w:r>
      <w:r w:rsidRPr="00BD0BB8">
        <w:rPr>
          <w:rFonts w:cs="Arial"/>
          <w:szCs w:val="22"/>
        </w:rPr>
        <w:t xml:space="preserve">, and </w:t>
      </w:r>
      <w:r w:rsidRPr="00BD0BB8">
        <w:rPr>
          <w:rFonts w:cs="Arial"/>
          <w:i/>
          <w:szCs w:val="22"/>
        </w:rPr>
        <w:t>vice versa</w:t>
      </w:r>
      <w:r w:rsidRPr="00BD0BB8">
        <w:rPr>
          <w:rFonts w:cs="Arial"/>
          <w:szCs w:val="22"/>
        </w:rPr>
        <w:t>.</w:t>
      </w:r>
      <w:bookmarkStart w:id="88" w:name="_Ref211834974"/>
      <w:bookmarkEnd w:id="88"/>
    </w:p>
    <w:p w14:paraId="2BC50B7A" w14:textId="0A98EB4B" w:rsidR="00633773" w:rsidRPr="00BD0BB8" w:rsidRDefault="00197DA9" w:rsidP="00633773">
      <w:pPr>
        <w:pStyle w:val="Heading2"/>
        <w:keepNext w:val="0"/>
        <w:widowControl w:val="0"/>
        <w:tabs>
          <w:tab w:val="left" w:pos="1701"/>
        </w:tabs>
        <w:jc w:val="both"/>
        <w:rPr>
          <w:color w:val="auto"/>
          <w:szCs w:val="22"/>
        </w:rPr>
      </w:pPr>
      <w:bookmarkStart w:id="89" w:name="_Ref446596843"/>
      <w:bookmarkEnd w:id="89"/>
      <w:r w:rsidRPr="00BD0BB8">
        <w:rPr>
          <w:color w:val="auto"/>
          <w:szCs w:val="22"/>
        </w:rPr>
        <w:t>Subject at all times to any Shareholders’ Agreement, when a Shareholder intends to dispose of its Shares (other than in terms of clause </w:t>
      </w:r>
      <w:r w:rsidRPr="00BD0BB8">
        <w:rPr>
          <w:color w:val="auto"/>
          <w:szCs w:val="22"/>
        </w:rPr>
        <w:fldChar w:fldCharType="begin"/>
      </w:r>
      <w:r w:rsidRPr="00BD0BB8">
        <w:rPr>
          <w:color w:val="auto"/>
          <w:szCs w:val="22"/>
        </w:rPr>
        <w:instrText xml:space="preserve">REF _Ref445459374 \r \h </w:instrText>
      </w:r>
      <w:r w:rsidR="00CC0AE9" w:rsidRPr="00BD0BB8">
        <w:rPr>
          <w:color w:val="auto"/>
          <w:szCs w:val="22"/>
        </w:rPr>
        <w:instrText xml:space="preserve"> \* MERGEFORMAT </w:instrText>
      </w:r>
      <w:r w:rsidRPr="00BD0BB8">
        <w:rPr>
          <w:color w:val="auto"/>
          <w:szCs w:val="22"/>
        </w:rPr>
      </w:r>
      <w:r w:rsidRPr="00BD0BB8">
        <w:rPr>
          <w:color w:val="auto"/>
          <w:szCs w:val="22"/>
        </w:rPr>
        <w:fldChar w:fldCharType="separate"/>
      </w:r>
      <w:r w:rsidR="00633773">
        <w:rPr>
          <w:color w:val="auto"/>
          <w:szCs w:val="22"/>
        </w:rPr>
        <w:t>10.2</w:t>
      </w:r>
      <w:r w:rsidRPr="00BD0BB8">
        <w:rPr>
          <w:color w:val="auto"/>
          <w:szCs w:val="22"/>
        </w:rPr>
        <w:fldChar w:fldCharType="end"/>
      </w:r>
      <w:r w:rsidRPr="00BD0BB8">
        <w:rPr>
          <w:color w:val="auto"/>
          <w:szCs w:val="22"/>
        </w:rPr>
        <w:t>, any other permitted provision of this MOI or any Shareholders' Agreement)</w:t>
      </w:r>
      <w:bookmarkStart w:id="90" w:name="_Ref452119699"/>
      <w:r w:rsidR="00633773">
        <w:rPr>
          <w:color w:val="auto"/>
          <w:szCs w:val="22"/>
        </w:rPr>
        <w:t>, such disposal shall be subject to the pre-emptive rights on transfers in favour of the Company and other Shareholders in terms of the Shareholders' Agreement.</w:t>
      </w:r>
      <w:r w:rsidR="00633773" w:rsidRPr="00633773">
        <w:rPr>
          <w:rStyle w:val="FootnoteReference"/>
          <w:color w:val="auto"/>
          <w:szCs w:val="22"/>
        </w:rPr>
        <w:t xml:space="preserve"> </w:t>
      </w:r>
      <w:r w:rsidR="00633773" w:rsidRPr="00BD0BB8">
        <w:rPr>
          <w:rStyle w:val="FootnoteReference"/>
          <w:color w:val="auto"/>
          <w:szCs w:val="22"/>
        </w:rPr>
        <w:footnoteReference w:id="23"/>
      </w:r>
    </w:p>
    <w:bookmarkEnd w:id="90"/>
    <w:p w14:paraId="00CF2F0B" w14:textId="77777777" w:rsidR="00462C16" w:rsidRPr="00BD0BB8" w:rsidRDefault="00BF3AAB" w:rsidP="006A005A">
      <w:pPr>
        <w:pStyle w:val="DA1FirstLevelHeading"/>
        <w:widowControl w:val="0"/>
        <w:jc w:val="both"/>
      </w:pPr>
      <w:r w:rsidRPr="00BD0BB8">
        <w:t>CERTIFICATES EVIDENCING ISSUED SECURITIES AND SECURITIES REGISTER</w:t>
      </w:r>
    </w:p>
    <w:p w14:paraId="274C5DDD" w14:textId="3BE287F5" w:rsidR="00462C16" w:rsidRPr="00BD0BB8" w:rsidRDefault="00BF3AAB" w:rsidP="006A005A">
      <w:pPr>
        <w:pStyle w:val="DA2SecondLevel"/>
        <w:widowControl w:val="0"/>
        <w:jc w:val="both"/>
      </w:pPr>
      <w:r w:rsidRPr="00BD0BB8">
        <w:t>The Securities issued by the Company shall be evidenced by certificates.</w:t>
      </w:r>
      <w:r w:rsidR="00487344" w:rsidRPr="00BD0BB8">
        <w:rPr>
          <w:rStyle w:val="FootnoteReference"/>
          <w:color w:val="auto"/>
        </w:rPr>
        <w:footnoteReference w:id="24"/>
      </w:r>
    </w:p>
    <w:p w14:paraId="37B9A8D9" w14:textId="77777777" w:rsidR="00462C16" w:rsidRPr="00BD0BB8" w:rsidRDefault="00BF3AAB" w:rsidP="006A005A">
      <w:pPr>
        <w:pStyle w:val="DA2SecondLevel"/>
        <w:keepNext w:val="0"/>
        <w:widowControl w:val="0"/>
        <w:jc w:val="both"/>
      </w:pPr>
      <w:r w:rsidRPr="00BD0BB8">
        <w:t xml:space="preserve">The Company shall </w:t>
      </w:r>
      <w:r w:rsidR="009F7AEB" w:rsidRPr="00BD0BB8">
        <w:t>maintain</w:t>
      </w:r>
      <w:r w:rsidRPr="00BD0BB8">
        <w:t xml:space="preserve"> a Securities Register with effect from the </w:t>
      </w:r>
      <w:r w:rsidR="00CE1165" w:rsidRPr="00BD0BB8">
        <w:t>date of the adoption of this MOI</w:t>
      </w:r>
      <w:r w:rsidR="00F5429A" w:rsidRPr="00BD0BB8">
        <w:t>,</w:t>
      </w:r>
      <w:r w:rsidRPr="00BD0BB8">
        <w:t xml:space="preserve"> which shall reflect</w:t>
      </w:r>
      <w:r w:rsidR="00D22DD7" w:rsidRPr="00BD0BB8">
        <w:t>:</w:t>
      </w:r>
    </w:p>
    <w:p w14:paraId="688F6FB3" w14:textId="77777777" w:rsidR="00462C16" w:rsidRPr="00BD0BB8" w:rsidRDefault="00BF3AAB" w:rsidP="006A005A">
      <w:pPr>
        <w:pStyle w:val="Heading3"/>
        <w:keepNext w:val="0"/>
        <w:keepLines w:val="0"/>
        <w:widowControl w:val="0"/>
      </w:pPr>
      <w:r w:rsidRPr="00BD0BB8">
        <w:t>the number of Securities authorised</w:t>
      </w:r>
      <w:r w:rsidR="0029202B" w:rsidRPr="00BD0BB8">
        <w:t>,</w:t>
      </w:r>
      <w:r w:rsidRPr="00BD0BB8">
        <w:t xml:space="preserve"> the number available to be issued and the date of authorisation;</w:t>
      </w:r>
    </w:p>
    <w:p w14:paraId="61BD0689" w14:textId="18731CC4" w:rsidR="00462C16" w:rsidRPr="00BD0BB8" w:rsidRDefault="00BF3AAB" w:rsidP="006A005A">
      <w:pPr>
        <w:pStyle w:val="Heading3"/>
        <w:keepNext w:val="0"/>
        <w:keepLines w:val="0"/>
        <w:widowControl w:val="0"/>
      </w:pPr>
      <w:r w:rsidRPr="00BD0BB8">
        <w:t>the total number of Securities of a class that have been issued, re</w:t>
      </w:r>
      <w:r w:rsidRPr="00BD0BB8">
        <w:noBreakHyphen/>
        <w:t>acquired or surrendered to the Company;</w:t>
      </w:r>
    </w:p>
    <w:p w14:paraId="2BB08DD0" w14:textId="0862D187" w:rsidR="00462C16" w:rsidRPr="00BD0BB8" w:rsidRDefault="00BF3AAB" w:rsidP="006A005A">
      <w:pPr>
        <w:pStyle w:val="Heading3"/>
        <w:keepNext w:val="0"/>
        <w:keepLines w:val="0"/>
        <w:widowControl w:val="0"/>
      </w:pPr>
      <w:r w:rsidRPr="00BD0BB8">
        <w:t>the number of Securities of that class that are the subject of options</w:t>
      </w:r>
      <w:r w:rsidRPr="00BD0BB8">
        <w:rPr>
          <w:lang w:val="en-US"/>
        </w:rPr>
        <w:t xml:space="preserve"> or conversion rights which, if exercised, would require Securities of that class to be issued.</w:t>
      </w:r>
      <w:r w:rsidR="00E731EB" w:rsidRPr="00BD0BB8">
        <w:rPr>
          <w:rStyle w:val="FootnoteReference"/>
        </w:rPr>
        <w:footnoteReference w:id="25"/>
      </w:r>
    </w:p>
    <w:p w14:paraId="2F3D2873" w14:textId="77777777" w:rsidR="00A12B22" w:rsidRPr="00BD0BB8" w:rsidRDefault="00BF3AAB" w:rsidP="006A005A">
      <w:pPr>
        <w:pStyle w:val="DA01"/>
      </w:pPr>
      <w:bookmarkStart w:id="91" w:name="_Ref279656215"/>
      <w:r w:rsidRPr="00BD0BB8">
        <w:t>Issuance</w:t>
      </w:r>
    </w:p>
    <w:p w14:paraId="58458CFB" w14:textId="41D22CF9" w:rsidR="00462C16" w:rsidRPr="00BD0BB8" w:rsidRDefault="001B6B39" w:rsidP="006A005A">
      <w:pPr>
        <w:pStyle w:val="DA2SecondLevel"/>
        <w:keepNext w:val="0"/>
        <w:widowControl w:val="0"/>
        <w:jc w:val="both"/>
      </w:pPr>
      <w:r w:rsidRPr="00BD0BB8">
        <w:t xml:space="preserve">As soon as practicable after </w:t>
      </w:r>
      <w:r w:rsidR="00E731EB" w:rsidRPr="00BD0BB8">
        <w:rPr>
          <w:rStyle w:val="FootnoteReference"/>
          <w:u w:val="single"/>
        </w:rPr>
        <w:footnoteReference w:id="26"/>
      </w:r>
      <w:r w:rsidR="00BF3AAB" w:rsidRPr="00BD0BB8">
        <w:t>issuing any Securities</w:t>
      </w:r>
      <w:r w:rsidR="009F7AEB" w:rsidRPr="00BD0BB8">
        <w:t>,</w:t>
      </w:r>
      <w:r w:rsidR="00BF3AAB" w:rsidRPr="00BD0BB8">
        <w:t xml:space="preserve"> the Company must enter or cause to be entered in its Securities Register, in respect of every class of Securities evidenced by certificates that it has issued</w:t>
      </w:r>
      <w:bookmarkEnd w:id="91"/>
      <w:r w:rsidR="00247C23" w:rsidRPr="00BD0BB8">
        <w:t>, the</w:t>
      </w:r>
      <w:r w:rsidR="00D22DD7" w:rsidRPr="00BD0BB8">
        <w:t>:</w:t>
      </w:r>
    </w:p>
    <w:p w14:paraId="7F3E64C7" w14:textId="77777777" w:rsidR="00462C16" w:rsidRPr="00BD0BB8" w:rsidRDefault="00BF3AAB" w:rsidP="006A005A">
      <w:pPr>
        <w:pStyle w:val="DA3Third"/>
        <w:rPr>
          <w:b/>
        </w:rPr>
      </w:pPr>
      <w:r w:rsidRPr="00BD0BB8">
        <w:t>names</w:t>
      </w:r>
      <w:r w:rsidR="0029202B" w:rsidRPr="00BD0BB8">
        <w:t>,</w:t>
      </w:r>
      <w:r w:rsidRPr="00BD0BB8">
        <w:t xml:space="preserve"> addresses and identity numbers of the Persons to </w:t>
      </w:r>
      <w:r w:rsidR="00DA751B" w:rsidRPr="00BD0BB8">
        <w:t>who</w:t>
      </w:r>
      <w:r w:rsidRPr="00BD0BB8">
        <w:t xml:space="preserve"> the Securities </w:t>
      </w:r>
      <w:r w:rsidRPr="00BD0BB8">
        <w:lastRenderedPageBreak/>
        <w:t>were issued;</w:t>
      </w:r>
    </w:p>
    <w:p w14:paraId="17AD2034" w14:textId="77777777" w:rsidR="00462C16" w:rsidRPr="00BD0BB8" w:rsidRDefault="00BF3AAB" w:rsidP="006A005A">
      <w:pPr>
        <w:pStyle w:val="DA3Third"/>
        <w:rPr>
          <w:b/>
        </w:rPr>
      </w:pPr>
      <w:r w:rsidRPr="00BD0BB8">
        <w:t>Email Addresses</w:t>
      </w:r>
      <w:r w:rsidR="00DB0859" w:rsidRPr="00BD0BB8">
        <w:t xml:space="preserve"> of those Persons</w:t>
      </w:r>
      <w:r w:rsidRPr="00BD0BB8">
        <w:t xml:space="preserve"> who have furnished </w:t>
      </w:r>
      <w:r w:rsidR="00DB0859" w:rsidRPr="00BD0BB8">
        <w:t>Email Addresses to the Company</w:t>
      </w:r>
      <w:r w:rsidRPr="00BD0BB8">
        <w:t>;</w:t>
      </w:r>
    </w:p>
    <w:p w14:paraId="67B932BF" w14:textId="77777777" w:rsidR="00CF4017" w:rsidRPr="00BD0BB8" w:rsidRDefault="00BF3AAB" w:rsidP="006A005A">
      <w:pPr>
        <w:pStyle w:val="DA3Third"/>
      </w:pPr>
      <w:r w:rsidRPr="00BD0BB8">
        <w:t xml:space="preserve">number and class of Securities issued to each of the Persons to </w:t>
      </w:r>
      <w:r w:rsidR="00DA751B" w:rsidRPr="00BD0BB8">
        <w:t>who</w:t>
      </w:r>
      <w:r w:rsidRPr="00BD0BB8">
        <w:t xml:space="preserve"> the Securities were issued, the date of issue</w:t>
      </w:r>
      <w:r w:rsidR="0029202B" w:rsidRPr="00BD0BB8">
        <w:t xml:space="preserve"> and</w:t>
      </w:r>
      <w:r w:rsidRPr="00BD0BB8">
        <w:t xml:space="preserve"> unique identification numbers;</w:t>
      </w:r>
    </w:p>
    <w:p w14:paraId="46DCAAA5" w14:textId="77777777" w:rsidR="00462C16" w:rsidRPr="00BD0BB8" w:rsidRDefault="00BF3AAB" w:rsidP="006A005A">
      <w:pPr>
        <w:pStyle w:val="DA3Third"/>
        <w:rPr>
          <w:b/>
        </w:rPr>
      </w:pPr>
      <w:r w:rsidRPr="00BD0BB8">
        <w:t>Consideration</w:t>
      </w:r>
      <w:r w:rsidR="009F7AEB" w:rsidRPr="00BD0BB8">
        <w:t xml:space="preserve"> received for such Securities</w:t>
      </w:r>
      <w:r w:rsidR="0029202B" w:rsidRPr="00BD0BB8">
        <w:t>;</w:t>
      </w:r>
    </w:p>
    <w:p w14:paraId="1A8B4CF1" w14:textId="77777777" w:rsidR="00462C16" w:rsidRPr="00BD0BB8" w:rsidRDefault="00BF3AAB" w:rsidP="006A005A">
      <w:pPr>
        <w:pStyle w:val="DA3Third"/>
        <w:rPr>
          <w:b/>
        </w:rPr>
      </w:pPr>
      <w:r w:rsidRPr="00BD0BB8">
        <w:t>total number of Securities of a class held by any Person;</w:t>
      </w:r>
    </w:p>
    <w:p w14:paraId="6D137A96" w14:textId="3714149D" w:rsidR="00462C16" w:rsidRPr="00BD0BB8" w:rsidRDefault="00BF3AAB" w:rsidP="006A005A">
      <w:pPr>
        <w:pStyle w:val="DA3Third"/>
        <w:rPr>
          <w:b/>
        </w:rPr>
      </w:pPr>
      <w:r w:rsidRPr="00BD0BB8">
        <w:t>date on which any such Securities were transferred by the Holder or by operation of law to another Person or re</w:t>
      </w:r>
      <w:r w:rsidRPr="00BD0BB8">
        <w:noBreakHyphen/>
        <w:t>acquired by or surrendered to the Company;</w:t>
      </w:r>
    </w:p>
    <w:p w14:paraId="1F52BFCF" w14:textId="77777777" w:rsidR="00462C16" w:rsidRPr="00BD0BB8" w:rsidRDefault="00BF3AAB" w:rsidP="006A005A">
      <w:pPr>
        <w:pStyle w:val="DA3Third"/>
      </w:pPr>
      <w:r w:rsidRPr="00BD0BB8">
        <w:t>number of, and circumstances relating to, any Securities</w:t>
      </w:r>
      <w:r w:rsidR="00D22DD7" w:rsidRPr="00BD0BB8">
        <w:t>:</w:t>
      </w:r>
    </w:p>
    <w:p w14:paraId="449530A8" w14:textId="77777777" w:rsidR="00A7331C" w:rsidRPr="00BD0BB8" w:rsidRDefault="00BF3AAB" w:rsidP="006A005A">
      <w:pPr>
        <w:pStyle w:val="DA4ThirdLevelNumbering"/>
        <w:rPr>
          <w:rFonts w:cs="Arial"/>
          <w:b/>
          <w:szCs w:val="22"/>
        </w:rPr>
      </w:pPr>
      <w:r w:rsidRPr="00BD0BB8">
        <w:rPr>
          <w:rFonts w:cs="Arial"/>
          <w:szCs w:val="22"/>
        </w:rPr>
        <w:t>that have been placed in trus</w:t>
      </w:r>
      <w:r w:rsidR="0003660C" w:rsidRPr="00BD0BB8">
        <w:rPr>
          <w:rFonts w:cs="Arial"/>
          <w:szCs w:val="22"/>
        </w:rPr>
        <w:t>t as contemplated in section 40</w:t>
      </w:r>
      <w:r w:rsidRPr="00BD0BB8">
        <w:rPr>
          <w:rFonts w:cs="Arial"/>
          <w:szCs w:val="22"/>
        </w:rPr>
        <w:t xml:space="preserve">(6)(d) of the </w:t>
      </w:r>
      <w:r w:rsidR="0050570C" w:rsidRPr="00BD0BB8">
        <w:rPr>
          <w:rFonts w:cs="Arial"/>
          <w:szCs w:val="22"/>
        </w:rPr>
        <w:t>Act</w:t>
      </w:r>
      <w:r w:rsidRPr="00BD0BB8">
        <w:rPr>
          <w:rFonts w:cs="Arial"/>
          <w:szCs w:val="22"/>
        </w:rPr>
        <w:t xml:space="preserve"> by reason of not having been fully paid for; or</w:t>
      </w:r>
    </w:p>
    <w:p w14:paraId="2A78694F" w14:textId="1867A1CE" w:rsidR="00BA08AF" w:rsidRPr="00BD0BB8" w:rsidRDefault="00BF3AAB" w:rsidP="006A005A">
      <w:pPr>
        <w:pStyle w:val="DA4ThirdLevelNumbering"/>
        <w:rPr>
          <w:rFonts w:cs="Arial"/>
          <w:b/>
          <w:szCs w:val="22"/>
        </w:rPr>
      </w:pPr>
      <w:r w:rsidRPr="00BD0BB8">
        <w:rPr>
          <w:rFonts w:cs="Arial"/>
          <w:szCs w:val="22"/>
        </w:rPr>
        <w:t>whose transfer has been restricted</w:t>
      </w:r>
      <w:r w:rsidR="00684A76" w:rsidRPr="00BD0BB8">
        <w:rPr>
          <w:rFonts w:cs="Arial"/>
          <w:szCs w:val="22"/>
        </w:rPr>
        <w:t>.</w:t>
      </w:r>
    </w:p>
    <w:p w14:paraId="686CD217" w14:textId="5AB71C59" w:rsidR="005C257B" w:rsidRPr="00BD0BB8" w:rsidRDefault="00BF3AAB" w:rsidP="006A005A">
      <w:pPr>
        <w:pStyle w:val="DA01"/>
      </w:pPr>
      <w:r w:rsidRPr="00BD0BB8">
        <w:t>Re-acquisition or surrender</w:t>
      </w:r>
      <w:r w:rsidR="00E731EB" w:rsidRPr="00BD0BB8">
        <w:rPr>
          <w:rStyle w:val="FootnoteReference"/>
        </w:rPr>
        <w:footnoteReference w:id="27"/>
      </w:r>
    </w:p>
    <w:p w14:paraId="31C4A6C1" w14:textId="77777777" w:rsidR="00462C16" w:rsidRPr="00BD0BB8" w:rsidRDefault="001B6B39" w:rsidP="006A005A">
      <w:pPr>
        <w:pStyle w:val="DA2SecondLevel"/>
        <w:keepNext w:val="0"/>
        <w:widowControl w:val="0"/>
        <w:jc w:val="both"/>
      </w:pPr>
      <w:r w:rsidRPr="00BD0BB8">
        <w:t xml:space="preserve">As soon as practicable after </w:t>
      </w:r>
      <w:r w:rsidR="00BF3AAB" w:rsidRPr="00BD0BB8">
        <w:t>the re</w:t>
      </w:r>
      <w:r w:rsidR="00BF3AAB" w:rsidRPr="00BD0BB8">
        <w:noBreakHyphen/>
        <w:t>acquisition or surrender of any Securities</w:t>
      </w:r>
      <w:r w:rsidR="009F7AEB" w:rsidRPr="00BD0BB8">
        <w:t>, the Company must enter or cause to be entered into its Securities Register, in respect of every class of Securities evidenced by certificates that it has issued</w:t>
      </w:r>
      <w:r w:rsidR="00247C23" w:rsidRPr="00BD0BB8">
        <w:t>, the</w:t>
      </w:r>
      <w:r w:rsidR="00D22DD7" w:rsidRPr="00BD0BB8">
        <w:t>:</w:t>
      </w:r>
    </w:p>
    <w:p w14:paraId="603E1141" w14:textId="77777777" w:rsidR="00462C16" w:rsidRPr="00BD0BB8" w:rsidRDefault="00BF3AAB" w:rsidP="006A005A">
      <w:pPr>
        <w:pStyle w:val="Heading3"/>
        <w:keepNext w:val="0"/>
        <w:keepLines w:val="0"/>
        <w:widowControl w:val="0"/>
        <w:rPr>
          <w:b/>
        </w:rPr>
      </w:pPr>
      <w:r w:rsidRPr="00BD0BB8">
        <w:t xml:space="preserve">date on which the Securities were re-acquired </w:t>
      </w:r>
      <w:r w:rsidR="0029202B" w:rsidRPr="00BD0BB8">
        <w:t xml:space="preserve">by </w:t>
      </w:r>
      <w:r w:rsidRPr="00BD0BB8">
        <w:t>or surrendered to the Company;</w:t>
      </w:r>
    </w:p>
    <w:p w14:paraId="4828CDF8" w14:textId="77777777" w:rsidR="00462C16" w:rsidRPr="00BD0BB8" w:rsidRDefault="00BF3AAB" w:rsidP="006A005A">
      <w:pPr>
        <w:pStyle w:val="Heading3"/>
        <w:keepNext w:val="0"/>
        <w:keepLines w:val="0"/>
        <w:widowControl w:val="0"/>
        <w:rPr>
          <w:b/>
        </w:rPr>
      </w:pPr>
      <w:r w:rsidRPr="00BD0BB8">
        <w:t>distinguishing number or numbers of any certificated Securities re</w:t>
      </w:r>
      <w:r w:rsidRPr="00BD0BB8">
        <w:noBreakHyphen/>
        <w:t>acquired or surrendered to the Company;</w:t>
      </w:r>
    </w:p>
    <w:p w14:paraId="60727763" w14:textId="77777777" w:rsidR="00462C16" w:rsidRPr="00BD0BB8" w:rsidRDefault="00BF3AAB" w:rsidP="006A005A">
      <w:pPr>
        <w:pStyle w:val="Heading3"/>
        <w:keepNext w:val="0"/>
        <w:keepLines w:val="0"/>
        <w:widowControl w:val="0"/>
        <w:rPr>
          <w:b/>
        </w:rPr>
      </w:pPr>
      <w:r w:rsidRPr="00BD0BB8">
        <w:t>Consideration for which the Securities were re</w:t>
      </w:r>
      <w:r w:rsidRPr="00BD0BB8">
        <w:noBreakHyphen/>
        <w:t>acquired by, or surrendered to the Company; and</w:t>
      </w:r>
    </w:p>
    <w:p w14:paraId="225AF811" w14:textId="3DC76B3B" w:rsidR="00B23C9E" w:rsidRPr="00BD0BB8" w:rsidRDefault="00BF3AAB" w:rsidP="006A005A">
      <w:pPr>
        <w:pStyle w:val="Heading3"/>
        <w:keepNext w:val="0"/>
        <w:keepLines w:val="0"/>
        <w:widowControl w:val="0"/>
        <w:rPr>
          <w:b/>
        </w:rPr>
      </w:pPr>
      <w:r w:rsidRPr="00BD0BB8">
        <w:t xml:space="preserve">name of the </w:t>
      </w:r>
      <w:r w:rsidR="00B15391" w:rsidRPr="00BD0BB8">
        <w:t>Holder</w:t>
      </w:r>
      <w:r w:rsidRPr="00BD0BB8">
        <w:t xml:space="preserve"> from or by </w:t>
      </w:r>
      <w:r w:rsidR="00DA751B" w:rsidRPr="00BD0BB8">
        <w:t>who</w:t>
      </w:r>
      <w:r w:rsidRPr="00BD0BB8">
        <w:t xml:space="preserve"> the Securities were re</w:t>
      </w:r>
      <w:r w:rsidRPr="00BD0BB8">
        <w:noBreakHyphen/>
        <w:t>acquired or surrendered, as the case may be</w:t>
      </w:r>
      <w:r w:rsidR="000C4FA5" w:rsidRPr="00BD0BB8">
        <w:t>.</w:t>
      </w:r>
    </w:p>
    <w:p w14:paraId="16EB7B9F" w14:textId="26699BAA" w:rsidR="00FA2C85" w:rsidRPr="00BD0BB8" w:rsidRDefault="00BF3AAB" w:rsidP="006A005A">
      <w:pPr>
        <w:pStyle w:val="DA01"/>
      </w:pPr>
      <w:r w:rsidRPr="00BD0BB8">
        <w:lastRenderedPageBreak/>
        <w:t>Certificates</w:t>
      </w:r>
      <w:r w:rsidR="00E731EB" w:rsidRPr="00BD0BB8">
        <w:rPr>
          <w:rStyle w:val="FootnoteReference"/>
        </w:rPr>
        <w:footnoteReference w:id="28"/>
      </w:r>
    </w:p>
    <w:p w14:paraId="62F23543" w14:textId="77777777" w:rsidR="00462C16" w:rsidRPr="00BD0BB8" w:rsidRDefault="00BF3AAB" w:rsidP="006A005A">
      <w:pPr>
        <w:pStyle w:val="DA2SecondLevel"/>
        <w:keepNext w:val="0"/>
        <w:widowControl w:val="0"/>
        <w:jc w:val="both"/>
      </w:pPr>
      <w:r w:rsidRPr="00BD0BB8">
        <w:t xml:space="preserve">Securities certificates shall be issued in such manner and form as the </w:t>
      </w:r>
      <w:r w:rsidR="005C257B" w:rsidRPr="00BD0BB8">
        <w:t>Board may prescribe</w:t>
      </w:r>
      <w:r w:rsidRPr="00BD0BB8">
        <w:t xml:space="preserve"> from time to time</w:t>
      </w:r>
      <w:r w:rsidR="00BA08AF" w:rsidRPr="00BD0BB8">
        <w:t>, provided</w:t>
      </w:r>
      <w:r w:rsidRPr="00BD0BB8">
        <w:t xml:space="preserve"> that </w:t>
      </w:r>
      <w:r w:rsidR="00BA08AF" w:rsidRPr="00BD0BB8">
        <w:t>such certificates must</w:t>
      </w:r>
      <w:r w:rsidR="00D22DD7" w:rsidRPr="00BD0BB8">
        <w:t>:</w:t>
      </w:r>
    </w:p>
    <w:p w14:paraId="00F23584" w14:textId="77777777" w:rsidR="00462C16" w:rsidRPr="00BD0BB8" w:rsidRDefault="00BF3AAB" w:rsidP="006A005A">
      <w:pPr>
        <w:pStyle w:val="Heading3"/>
        <w:keepNext w:val="0"/>
        <w:keepLines w:val="0"/>
        <w:widowControl w:val="0"/>
      </w:pPr>
      <w:r w:rsidRPr="00BD0BB8">
        <w:t>state on the face</w:t>
      </w:r>
      <w:r w:rsidR="00D22DD7" w:rsidRPr="00BD0BB8">
        <w:t>:</w:t>
      </w:r>
    </w:p>
    <w:p w14:paraId="66FBCB30" w14:textId="77777777" w:rsidR="00462C16" w:rsidRPr="00BD0BB8" w:rsidRDefault="00BF3AAB" w:rsidP="006A005A">
      <w:pPr>
        <w:pStyle w:val="DA4ThirdLevelNumbering"/>
        <w:rPr>
          <w:rFonts w:cs="Arial"/>
          <w:szCs w:val="22"/>
        </w:rPr>
      </w:pPr>
      <w:r w:rsidRPr="00BD0BB8">
        <w:rPr>
          <w:rFonts w:cs="Arial"/>
          <w:szCs w:val="22"/>
        </w:rPr>
        <w:t>the name of the Company;</w:t>
      </w:r>
      <w:r w:rsidR="00D82E88" w:rsidRPr="00BD0BB8">
        <w:rPr>
          <w:rFonts w:cs="Arial"/>
          <w:szCs w:val="22"/>
        </w:rPr>
        <w:t xml:space="preserve"> </w:t>
      </w:r>
    </w:p>
    <w:p w14:paraId="64AEE028" w14:textId="77777777" w:rsidR="00462C16" w:rsidRPr="00BD0BB8" w:rsidRDefault="00BF3AAB" w:rsidP="006A005A">
      <w:pPr>
        <w:pStyle w:val="DA4ThirdLevelNumbering"/>
        <w:rPr>
          <w:rFonts w:cs="Arial"/>
          <w:szCs w:val="22"/>
        </w:rPr>
      </w:pPr>
      <w:r w:rsidRPr="00BD0BB8">
        <w:rPr>
          <w:rFonts w:cs="Arial"/>
          <w:szCs w:val="22"/>
        </w:rPr>
        <w:t xml:space="preserve">the name of the Person to </w:t>
      </w:r>
      <w:r w:rsidR="00DA751B" w:rsidRPr="00BD0BB8">
        <w:rPr>
          <w:rFonts w:cs="Arial"/>
          <w:szCs w:val="22"/>
        </w:rPr>
        <w:t>who</w:t>
      </w:r>
      <w:r w:rsidRPr="00BD0BB8">
        <w:rPr>
          <w:rFonts w:cs="Arial"/>
          <w:szCs w:val="22"/>
        </w:rPr>
        <w:t xml:space="preserve"> the Securities were issued;</w:t>
      </w:r>
    </w:p>
    <w:p w14:paraId="23DA3D2B" w14:textId="77777777" w:rsidR="00462C16" w:rsidRPr="00BD0BB8" w:rsidRDefault="00BF3AAB" w:rsidP="006A005A">
      <w:pPr>
        <w:pStyle w:val="DA4ThirdLevelNumbering"/>
        <w:rPr>
          <w:rFonts w:cs="Arial"/>
          <w:szCs w:val="22"/>
        </w:rPr>
      </w:pPr>
      <w:r w:rsidRPr="00BD0BB8">
        <w:rPr>
          <w:rFonts w:cs="Arial"/>
          <w:szCs w:val="22"/>
        </w:rPr>
        <w:t>the number and class of Shares and the designation of the series, if any,</w:t>
      </w:r>
      <w:r w:rsidR="0029202B" w:rsidRPr="00BD0BB8">
        <w:rPr>
          <w:rFonts w:cs="Arial"/>
          <w:szCs w:val="22"/>
        </w:rPr>
        <w:t xml:space="preserve"> evidenced by that certificate;</w:t>
      </w:r>
    </w:p>
    <w:p w14:paraId="06695DE9" w14:textId="77777777" w:rsidR="00462C16" w:rsidRPr="00BD0BB8" w:rsidRDefault="00BF3AAB" w:rsidP="006A005A">
      <w:pPr>
        <w:pStyle w:val="DA4ThirdLevelNumbering"/>
        <w:rPr>
          <w:rFonts w:cs="Arial"/>
          <w:szCs w:val="22"/>
        </w:rPr>
      </w:pPr>
      <w:r w:rsidRPr="00BD0BB8">
        <w:rPr>
          <w:rFonts w:cs="Arial"/>
          <w:szCs w:val="22"/>
        </w:rPr>
        <w:t>a distinctive</w:t>
      </w:r>
      <w:r w:rsidR="00BA08AF" w:rsidRPr="00BD0BB8">
        <w:rPr>
          <w:rFonts w:cs="Arial"/>
          <w:szCs w:val="22"/>
        </w:rPr>
        <w:t xml:space="preserve"> number</w:t>
      </w:r>
      <w:r w:rsidRPr="00BD0BB8">
        <w:rPr>
          <w:rFonts w:cs="Arial"/>
          <w:szCs w:val="22"/>
        </w:rPr>
        <w:t xml:space="preserve"> for each certificate; and</w:t>
      </w:r>
    </w:p>
    <w:p w14:paraId="13446B78" w14:textId="77777777" w:rsidR="00462C16" w:rsidRPr="00BD0BB8" w:rsidRDefault="00BF3AAB" w:rsidP="006A005A">
      <w:pPr>
        <w:pStyle w:val="DA4ThirdLevelNumbering"/>
        <w:rPr>
          <w:rFonts w:cs="Arial"/>
          <w:szCs w:val="22"/>
        </w:rPr>
      </w:pPr>
      <w:r w:rsidRPr="00BD0BB8">
        <w:rPr>
          <w:rFonts w:cs="Arial"/>
          <w:szCs w:val="22"/>
        </w:rPr>
        <w:t>any restriction on the transfer of the Securities evidenced by that certificate;</w:t>
      </w:r>
    </w:p>
    <w:p w14:paraId="42DB9A6F" w14:textId="3C858B72" w:rsidR="00462C16" w:rsidRPr="00BD0BB8" w:rsidRDefault="00BF3AAB" w:rsidP="006A005A">
      <w:pPr>
        <w:pStyle w:val="Heading3"/>
        <w:keepNext w:val="0"/>
        <w:keepLines w:val="0"/>
        <w:widowControl w:val="0"/>
      </w:pPr>
      <w:r w:rsidRPr="00BD0BB8">
        <w:t>be signed by two Persons authorised by the Board by autographic, mechanical or electronic means.</w:t>
      </w:r>
    </w:p>
    <w:p w14:paraId="7DC064DE" w14:textId="448E972B" w:rsidR="00462C16" w:rsidRPr="00BD0BB8" w:rsidRDefault="00BF3AAB" w:rsidP="006A005A">
      <w:pPr>
        <w:pStyle w:val="DA2SecondLevel"/>
        <w:keepNext w:val="0"/>
        <w:widowControl w:val="0"/>
        <w:jc w:val="both"/>
      </w:pPr>
      <w:r w:rsidRPr="00BD0BB8">
        <w:t>Each class of Shares, and any other Securities, must be distinguished by an appropriate numbering system.</w:t>
      </w:r>
      <w:r w:rsidR="00E731EB" w:rsidRPr="00BD0BB8">
        <w:rPr>
          <w:rStyle w:val="FootnoteReference"/>
          <w:color w:val="auto"/>
        </w:rPr>
        <w:footnoteReference w:id="29"/>
      </w:r>
    </w:p>
    <w:p w14:paraId="58EAA2F7" w14:textId="6A436137" w:rsidR="00462C16" w:rsidRPr="00BD0BB8" w:rsidRDefault="00BF3AAB" w:rsidP="006A005A">
      <w:pPr>
        <w:pStyle w:val="DA2SecondLevel"/>
        <w:keepNext w:val="0"/>
        <w:widowControl w:val="0"/>
        <w:jc w:val="both"/>
      </w:pPr>
      <w:bookmarkStart w:id="92" w:name="_Ref255721780"/>
      <w:bookmarkEnd w:id="70"/>
      <w:r w:rsidRPr="00BD0BB8">
        <w:t>Each Holder shall be entitled to 1 (one) certificate for all the Securities of a particular class registered in his/</w:t>
      </w:r>
      <w:r w:rsidR="007A1842" w:rsidRPr="00BD0BB8">
        <w:t>her/</w:t>
      </w:r>
      <w:r w:rsidRPr="00BD0BB8">
        <w:t>its name, or to several certificates, each for a part of such Securities.</w:t>
      </w:r>
      <w:bookmarkEnd w:id="92"/>
    </w:p>
    <w:p w14:paraId="3C7AC38F" w14:textId="77777777" w:rsidR="00462C16" w:rsidRPr="00BD0BB8" w:rsidRDefault="00BF3AAB" w:rsidP="006A005A">
      <w:pPr>
        <w:pStyle w:val="DA2SecondLevel"/>
        <w:keepNext w:val="0"/>
        <w:widowControl w:val="0"/>
        <w:jc w:val="both"/>
      </w:pPr>
      <w:bookmarkStart w:id="93" w:name="_Ref255722017"/>
      <w:r w:rsidRPr="00BD0BB8">
        <w:t>If a certificate for Securities is defaced, lost or destroyed, i</w:t>
      </w:r>
      <w:r w:rsidR="0029202B" w:rsidRPr="00BD0BB8">
        <w:t>t may be renewed, on such terms</w:t>
      </w:r>
      <w:r w:rsidRPr="00BD0BB8">
        <w:t xml:space="preserve"> as to evidence</w:t>
      </w:r>
      <w:r w:rsidR="0029202B" w:rsidRPr="00BD0BB8">
        <w:t>,</w:t>
      </w:r>
      <w:r w:rsidRPr="00BD0BB8">
        <w:t xml:space="preserve"> indemnity and payment of such fee as the Directors think fit, and (in </w:t>
      </w:r>
      <w:r w:rsidR="003D5880" w:rsidRPr="00BD0BB8">
        <w:t xml:space="preserve">the </w:t>
      </w:r>
      <w:r w:rsidRPr="00BD0BB8">
        <w:t>case of defacement) on delivery of the old certificate to the Company.</w:t>
      </w:r>
      <w:bookmarkEnd w:id="93"/>
    </w:p>
    <w:p w14:paraId="4CAD1905" w14:textId="77777777" w:rsidR="00462C16" w:rsidRPr="00BD0BB8" w:rsidRDefault="00BF3AAB" w:rsidP="006A005A">
      <w:pPr>
        <w:pStyle w:val="DA2SecondLevel"/>
        <w:keepNext w:val="0"/>
        <w:widowControl w:val="0"/>
        <w:jc w:val="both"/>
      </w:pPr>
      <w:r w:rsidRPr="00BD0BB8">
        <w:t>A Person</w:t>
      </w:r>
      <w:r w:rsidR="00D22DD7" w:rsidRPr="00BD0BB8">
        <w:t>:</w:t>
      </w:r>
    </w:p>
    <w:p w14:paraId="27A5A704" w14:textId="35F55BCA" w:rsidR="00462C16" w:rsidRPr="00BD0BB8" w:rsidRDefault="00BF3AAB" w:rsidP="006A005A">
      <w:pPr>
        <w:pStyle w:val="Heading3"/>
        <w:keepNext w:val="0"/>
        <w:keepLines w:val="0"/>
        <w:widowControl w:val="0"/>
      </w:pPr>
      <w:r w:rsidRPr="00BD0BB8">
        <w:t>acquires the rights associated with any particular Securities of the Company when that Person</w:t>
      </w:r>
      <w:r w:rsidR="00713970" w:rsidRPr="00BD0BB8">
        <w:t>'</w:t>
      </w:r>
      <w:r w:rsidRPr="00BD0BB8">
        <w:t xml:space="preserve">s name is entered in the Company’s Securities Register as a Person to </w:t>
      </w:r>
      <w:r w:rsidR="00DA751B" w:rsidRPr="00BD0BB8">
        <w:t>who</w:t>
      </w:r>
      <w:r w:rsidRPr="00BD0BB8">
        <w:t xml:space="preserve"> those Securities have been issued or transferred; and</w:t>
      </w:r>
    </w:p>
    <w:p w14:paraId="190501E6" w14:textId="20CF21F0" w:rsidR="00CE1165" w:rsidRPr="00BD0BB8" w:rsidRDefault="00BF3AAB" w:rsidP="006A005A">
      <w:pPr>
        <w:pStyle w:val="Heading3"/>
        <w:keepNext w:val="0"/>
        <w:keepLines w:val="0"/>
        <w:widowControl w:val="0"/>
        <w:rPr>
          <w:b/>
        </w:rPr>
      </w:pPr>
      <w:r w:rsidRPr="00BD0BB8">
        <w:t xml:space="preserve">ceases to have the rights associated with any particular Securities of the </w:t>
      </w:r>
      <w:r w:rsidRPr="00BD0BB8">
        <w:lastRenderedPageBreak/>
        <w:t>Company when the transfer to another Person, re</w:t>
      </w:r>
      <w:r w:rsidRPr="00BD0BB8">
        <w:noBreakHyphen/>
        <w:t>acquisition by the Company, or surrender to the Company of those Securities has been entered in the Company</w:t>
      </w:r>
      <w:r w:rsidR="00B33BA4" w:rsidRPr="00BD0BB8">
        <w:t>'</w:t>
      </w:r>
      <w:r w:rsidRPr="00BD0BB8">
        <w:t>s Securities Register.</w:t>
      </w:r>
      <w:r w:rsidR="00E731EB" w:rsidRPr="00BD0BB8">
        <w:rPr>
          <w:rStyle w:val="FootnoteReference"/>
        </w:rPr>
        <w:footnoteReference w:id="30"/>
      </w:r>
    </w:p>
    <w:p w14:paraId="702685EE" w14:textId="77777777" w:rsidR="00462C16" w:rsidRPr="00BD0BB8" w:rsidRDefault="00BF3AAB" w:rsidP="006A005A">
      <w:pPr>
        <w:pStyle w:val="DA1FirstLevelHeading"/>
        <w:keepNext w:val="0"/>
        <w:widowControl w:val="0"/>
        <w:jc w:val="both"/>
      </w:pPr>
      <w:r w:rsidRPr="00BD0BB8">
        <w:t>FINANCIAL ASSISTANCE FOR THE ACQUISITION OF SECURITIES</w:t>
      </w:r>
    </w:p>
    <w:p w14:paraId="10ECF034" w14:textId="020B1690" w:rsidR="00A8745A" w:rsidRPr="00BD0BB8" w:rsidRDefault="00BF3AAB" w:rsidP="006A005A">
      <w:pPr>
        <w:pStyle w:val="DA2SecondLevel"/>
        <w:keepNext w:val="0"/>
        <w:widowControl w:val="0"/>
        <w:jc w:val="both"/>
        <w:rPr>
          <w:b/>
        </w:rPr>
      </w:pPr>
      <w:bookmarkStart w:id="94" w:name="_Ref178871621"/>
      <w:r w:rsidRPr="00BD0BB8">
        <w:t>The Board</w:t>
      </w:r>
      <w:r w:rsidR="00B33BA4" w:rsidRPr="00BD0BB8">
        <w:t>'</w:t>
      </w:r>
      <w:r w:rsidRPr="00BD0BB8">
        <w:t xml:space="preserve">s powers to provide direct or indirect financial assistance as contemplated in section 44(2) </w:t>
      </w:r>
      <w:r w:rsidR="00EB26B2" w:rsidRPr="00BD0BB8">
        <w:t xml:space="preserve">of the </w:t>
      </w:r>
      <w:r w:rsidR="0050570C" w:rsidRPr="00BD0BB8">
        <w:t>Act</w:t>
      </w:r>
      <w:r w:rsidR="00EB26B2" w:rsidRPr="00BD0BB8">
        <w:t xml:space="preserve"> </w:t>
      </w:r>
      <w:r w:rsidRPr="00BD0BB8">
        <w:t>are not limited in any manner</w:t>
      </w:r>
      <w:r w:rsidR="00E731EB" w:rsidRPr="00BD0BB8">
        <w:rPr>
          <w:rStyle w:val="FootnoteReference"/>
          <w:color w:val="auto"/>
        </w:rPr>
        <w:footnoteReference w:id="31"/>
      </w:r>
      <w:r w:rsidR="00320878" w:rsidRPr="00BD0BB8">
        <w:t>, except as may be provided for under clauses 24 and 25 of this MOI</w:t>
      </w:r>
      <w:r w:rsidRPr="00BD0BB8">
        <w:t>.</w:t>
      </w:r>
      <w:bookmarkEnd w:id="94"/>
    </w:p>
    <w:p w14:paraId="6CC7AE5D" w14:textId="39988169" w:rsidR="00C628F8" w:rsidRPr="00BD0BB8" w:rsidRDefault="00BF3AAB" w:rsidP="006A005A">
      <w:pPr>
        <w:pStyle w:val="DA2SecondLevel"/>
        <w:keepNext w:val="0"/>
        <w:widowControl w:val="0"/>
        <w:jc w:val="both"/>
        <w:rPr>
          <w:lang w:val="en-US"/>
        </w:rPr>
      </w:pPr>
      <w:r w:rsidRPr="00BD0BB8">
        <w:rPr>
          <w:lang w:val="en-US"/>
        </w:rPr>
        <w:t xml:space="preserve">The Board may not authorise any financial assistance contemplated in clause </w:t>
      </w:r>
      <w:r w:rsidR="0029202B" w:rsidRPr="00BD0BB8">
        <w:rPr>
          <w:lang w:val="en-US" w:eastAsia="en-ZA"/>
        </w:rPr>
        <w:fldChar w:fldCharType="begin"/>
      </w:r>
      <w:r w:rsidR="0029202B" w:rsidRPr="00BD0BB8">
        <w:rPr>
          <w:lang w:val="en-US" w:eastAsia="en-ZA"/>
        </w:rPr>
        <w:instrText xml:space="preserve"> REF _Ref178871621 \r \h </w:instrText>
      </w:r>
      <w:r w:rsidR="00AD5D04" w:rsidRPr="00BD0BB8">
        <w:rPr>
          <w:lang w:val="en-US" w:eastAsia="en-ZA"/>
        </w:rPr>
        <w:instrText xml:space="preserve"> \* MERGEFORMAT </w:instrText>
      </w:r>
      <w:r w:rsidR="0029202B" w:rsidRPr="00BD0BB8">
        <w:rPr>
          <w:lang w:val="en-US" w:eastAsia="en-ZA"/>
        </w:rPr>
      </w:r>
      <w:r w:rsidR="0029202B" w:rsidRPr="00BD0BB8">
        <w:rPr>
          <w:lang w:val="en-US" w:eastAsia="en-ZA"/>
        </w:rPr>
        <w:fldChar w:fldCharType="separate"/>
      </w:r>
      <w:r w:rsidR="00633773">
        <w:rPr>
          <w:lang w:val="en-US" w:eastAsia="en-ZA"/>
        </w:rPr>
        <w:t>12.1</w:t>
      </w:r>
      <w:r w:rsidR="0029202B" w:rsidRPr="00BD0BB8">
        <w:rPr>
          <w:lang w:val="en-US" w:eastAsia="en-ZA"/>
        </w:rPr>
        <w:fldChar w:fldCharType="end"/>
      </w:r>
      <w:r w:rsidRPr="00BD0BB8">
        <w:rPr>
          <w:lang w:val="en-US"/>
        </w:rPr>
        <w:t xml:space="preserve"> unless</w:t>
      </w:r>
      <w:r w:rsidR="00D22DD7" w:rsidRPr="00BD0BB8">
        <w:rPr>
          <w:lang w:val="en-US"/>
        </w:rPr>
        <w:t>:</w:t>
      </w:r>
    </w:p>
    <w:p w14:paraId="43791DD2" w14:textId="77777777" w:rsidR="00C628F8" w:rsidRPr="00BD0BB8" w:rsidRDefault="00BF3AAB" w:rsidP="006A005A">
      <w:pPr>
        <w:pStyle w:val="Heading3"/>
        <w:keepNext w:val="0"/>
        <w:keepLines w:val="0"/>
        <w:widowControl w:val="0"/>
        <w:rPr>
          <w:lang w:val="en-US"/>
        </w:rPr>
      </w:pPr>
      <w:r w:rsidRPr="00BD0BB8">
        <w:rPr>
          <w:lang w:val="en-US"/>
        </w:rPr>
        <w:t xml:space="preserve">the </w:t>
      </w:r>
      <w:r w:rsidRPr="00BD0BB8">
        <w:t>particular</w:t>
      </w:r>
      <w:r w:rsidRPr="00BD0BB8">
        <w:rPr>
          <w:lang w:val="en-US"/>
        </w:rPr>
        <w:t xml:space="preserve"> provision of financ</w:t>
      </w:r>
      <w:r w:rsidR="00211ECB" w:rsidRPr="00BD0BB8">
        <w:rPr>
          <w:lang w:val="en-US"/>
        </w:rPr>
        <w:t>ial assistance is pursuant to:</w:t>
      </w:r>
    </w:p>
    <w:p w14:paraId="1879DAD5" w14:textId="77777777" w:rsidR="00C628F8" w:rsidRPr="00BD0BB8" w:rsidRDefault="00BF3AAB" w:rsidP="006A005A">
      <w:pPr>
        <w:pStyle w:val="DA4ThirdLevelNumbering"/>
        <w:rPr>
          <w:rFonts w:cs="Arial"/>
          <w:szCs w:val="22"/>
        </w:rPr>
      </w:pPr>
      <w:r w:rsidRPr="00BD0BB8">
        <w:rPr>
          <w:rFonts w:cs="Arial"/>
          <w:szCs w:val="22"/>
        </w:rPr>
        <w:t>an employee share scheme that satisfies the requirements of section 97</w:t>
      </w:r>
      <w:r w:rsidR="009F7AEB" w:rsidRPr="00BD0BB8">
        <w:rPr>
          <w:rFonts w:cs="Arial"/>
          <w:szCs w:val="22"/>
        </w:rPr>
        <w:t xml:space="preserve"> of the Act</w:t>
      </w:r>
      <w:r w:rsidR="0029202B" w:rsidRPr="00BD0BB8">
        <w:rPr>
          <w:rFonts w:cs="Arial"/>
          <w:szCs w:val="22"/>
        </w:rPr>
        <w:t>; or</w:t>
      </w:r>
    </w:p>
    <w:p w14:paraId="15CCD32E" w14:textId="77777777" w:rsidR="00C628F8" w:rsidRPr="00BD0BB8" w:rsidRDefault="00BF3AAB" w:rsidP="006A005A">
      <w:pPr>
        <w:pStyle w:val="DA4ThirdLevelNumbering"/>
        <w:rPr>
          <w:rFonts w:cs="Arial"/>
          <w:szCs w:val="22"/>
        </w:rPr>
      </w:pPr>
      <w:r w:rsidRPr="00BD0BB8">
        <w:rPr>
          <w:rFonts w:cs="Arial"/>
          <w:szCs w:val="22"/>
        </w:rPr>
        <w:t xml:space="preserve">a </w:t>
      </w:r>
      <w:r w:rsidR="008A2A70" w:rsidRPr="00BD0BB8">
        <w:rPr>
          <w:rFonts w:cs="Arial"/>
          <w:szCs w:val="22"/>
        </w:rPr>
        <w:t>S</w:t>
      </w:r>
      <w:r w:rsidRPr="00BD0BB8">
        <w:rPr>
          <w:rFonts w:cs="Arial"/>
          <w:szCs w:val="22"/>
        </w:rPr>
        <w:t xml:space="preserve">pecial </w:t>
      </w:r>
      <w:r w:rsidR="008A2A70" w:rsidRPr="00BD0BB8">
        <w:rPr>
          <w:rFonts w:cs="Arial"/>
          <w:szCs w:val="22"/>
        </w:rPr>
        <w:t>R</w:t>
      </w:r>
      <w:r w:rsidRPr="00BD0BB8">
        <w:rPr>
          <w:rFonts w:cs="Arial"/>
          <w:szCs w:val="22"/>
        </w:rPr>
        <w:t>esolution, adopted within the previous 2 (two) years, which approved such assistance either for the specific recipient, or generally for a category of potential recipients, and the specific recipient falls within that category; and</w:t>
      </w:r>
    </w:p>
    <w:p w14:paraId="6DCE4F38" w14:textId="77777777" w:rsidR="00C628F8" w:rsidRPr="00BD0BB8" w:rsidRDefault="00BF3AAB" w:rsidP="006A005A">
      <w:pPr>
        <w:pStyle w:val="Heading3"/>
        <w:keepNext w:val="0"/>
        <w:keepLines w:val="0"/>
        <w:widowControl w:val="0"/>
        <w:rPr>
          <w:lang w:val="en-US"/>
        </w:rPr>
      </w:pPr>
      <w:r w:rsidRPr="00BD0BB8">
        <w:rPr>
          <w:lang w:val="en-US"/>
        </w:rPr>
        <w:t xml:space="preserve">the </w:t>
      </w:r>
      <w:r w:rsidR="001A5B52" w:rsidRPr="00BD0BB8">
        <w:rPr>
          <w:lang w:val="en-US"/>
        </w:rPr>
        <w:t>B</w:t>
      </w:r>
      <w:r w:rsidR="00211ECB" w:rsidRPr="00BD0BB8">
        <w:rPr>
          <w:lang w:val="en-US"/>
        </w:rPr>
        <w:t>oard is satisfied that:</w:t>
      </w:r>
    </w:p>
    <w:p w14:paraId="1EC20A70" w14:textId="77777777" w:rsidR="00C628F8" w:rsidRPr="00BD0BB8" w:rsidRDefault="00BF3AAB" w:rsidP="006A005A">
      <w:pPr>
        <w:pStyle w:val="DA4ThirdLevelNumbering"/>
        <w:rPr>
          <w:rFonts w:cs="Arial"/>
          <w:szCs w:val="22"/>
        </w:rPr>
      </w:pPr>
      <w:r w:rsidRPr="00BD0BB8">
        <w:rPr>
          <w:rFonts w:cs="Arial"/>
          <w:szCs w:val="22"/>
        </w:rPr>
        <w:t xml:space="preserve">immediately after providing the financial assistance, the </w:t>
      </w:r>
      <w:r w:rsidR="005B52BF" w:rsidRPr="00BD0BB8">
        <w:rPr>
          <w:rFonts w:cs="Arial"/>
          <w:szCs w:val="22"/>
        </w:rPr>
        <w:t>Company</w:t>
      </w:r>
      <w:r w:rsidRPr="00BD0BB8">
        <w:rPr>
          <w:rFonts w:cs="Arial"/>
          <w:szCs w:val="22"/>
        </w:rPr>
        <w:t xml:space="preserve"> would satisfy the </w:t>
      </w:r>
      <w:r w:rsidR="00A561CA" w:rsidRPr="00BD0BB8">
        <w:rPr>
          <w:rFonts w:cs="Arial"/>
          <w:szCs w:val="22"/>
        </w:rPr>
        <w:t xml:space="preserve">Solvency </w:t>
      </w:r>
      <w:r w:rsidRPr="00BD0BB8">
        <w:rPr>
          <w:rFonts w:cs="Arial"/>
          <w:szCs w:val="22"/>
        </w:rPr>
        <w:t xml:space="preserve">and </w:t>
      </w:r>
      <w:r w:rsidR="00A561CA" w:rsidRPr="00BD0BB8">
        <w:rPr>
          <w:rFonts w:cs="Arial"/>
          <w:szCs w:val="22"/>
        </w:rPr>
        <w:t>Liquidity Test</w:t>
      </w:r>
      <w:r w:rsidRPr="00BD0BB8">
        <w:rPr>
          <w:rFonts w:cs="Arial"/>
          <w:szCs w:val="22"/>
        </w:rPr>
        <w:t>; and</w:t>
      </w:r>
    </w:p>
    <w:p w14:paraId="15171E2B" w14:textId="41EAFEEE" w:rsidR="0070190E" w:rsidRPr="00BD0BB8" w:rsidRDefault="00BF3AAB" w:rsidP="006A005A">
      <w:pPr>
        <w:pStyle w:val="DA4ThirdLevelNumbering"/>
        <w:rPr>
          <w:rFonts w:cs="Arial"/>
          <w:b/>
          <w:szCs w:val="22"/>
        </w:rPr>
      </w:pPr>
      <w:r w:rsidRPr="00BD0BB8">
        <w:rPr>
          <w:rFonts w:cs="Arial"/>
          <w:szCs w:val="22"/>
        </w:rPr>
        <w:t>the terms under which the financial assistance is proposed to be given are fair</w:t>
      </w:r>
      <w:r w:rsidR="0029202B" w:rsidRPr="00BD0BB8">
        <w:rPr>
          <w:rFonts w:cs="Arial"/>
          <w:szCs w:val="22"/>
        </w:rPr>
        <w:t xml:space="preserve"> and reasonable to the Company.</w:t>
      </w:r>
      <w:r w:rsidR="004762C6" w:rsidRPr="00BD0BB8">
        <w:rPr>
          <w:rStyle w:val="FootnoteReference"/>
          <w:rFonts w:cs="Arial"/>
          <w:szCs w:val="22"/>
        </w:rPr>
        <w:footnoteReference w:id="32"/>
      </w:r>
    </w:p>
    <w:p w14:paraId="32ED02EE" w14:textId="77777777" w:rsidR="00684A76" w:rsidRPr="00BD0BB8" w:rsidRDefault="00684A76" w:rsidP="006A005A">
      <w:pPr>
        <w:pStyle w:val="DA4ThirdLevelNumbering"/>
        <w:numPr>
          <w:ilvl w:val="0"/>
          <w:numId w:val="0"/>
        </w:numPr>
        <w:ind w:left="3969"/>
        <w:rPr>
          <w:rFonts w:cs="Arial"/>
          <w:szCs w:val="22"/>
          <w:lang w:eastAsia="en-ZA"/>
        </w:rPr>
      </w:pPr>
    </w:p>
    <w:p w14:paraId="49963DDA" w14:textId="77777777" w:rsidR="00BF5FBD" w:rsidRPr="00BD0BB8" w:rsidRDefault="00BF3AAB" w:rsidP="006A005A">
      <w:pPr>
        <w:pStyle w:val="DA1FirstLevelHeading"/>
        <w:keepNext w:val="0"/>
        <w:widowControl w:val="0"/>
        <w:jc w:val="both"/>
        <w:rPr>
          <w:u w:val="single"/>
        </w:rPr>
      </w:pPr>
      <w:bookmarkStart w:id="95" w:name="_Ref178872543"/>
      <w:bookmarkStart w:id="96" w:name="_Ref244607790"/>
      <w:bookmarkStart w:id="97" w:name="_Toc256693254"/>
      <w:bookmarkStart w:id="98" w:name="_Toc256693486"/>
      <w:bookmarkStart w:id="99" w:name="_Toc256693632"/>
      <w:bookmarkStart w:id="100" w:name="_Toc256695172"/>
      <w:bookmarkStart w:id="101" w:name="_Toc256695488"/>
      <w:r w:rsidRPr="00BD0BB8">
        <w:t>PROHIBITION AGAINST SECURITIES BEING HELD BY ONE PERSON FOR THE BENEFICIAL INTEREST OF ANOTHER</w:t>
      </w:r>
    </w:p>
    <w:p w14:paraId="23CFA26C" w14:textId="40990BA2" w:rsidR="00BF5FBD" w:rsidRPr="00BD0BB8" w:rsidRDefault="00BF5FBD" w:rsidP="006A005A">
      <w:pPr>
        <w:pStyle w:val="DA2SecondLevel"/>
        <w:keepNext w:val="0"/>
        <w:widowControl w:val="0"/>
        <w:jc w:val="both"/>
      </w:pPr>
      <w:r w:rsidRPr="00BD0BB8">
        <w:t xml:space="preserve">Securities issued by the Company may be held by, and registered in the name of, one Person for the beneficial interest of another Person, but no Person other than the </w:t>
      </w:r>
      <w:r w:rsidRPr="00BD0BB8">
        <w:lastRenderedPageBreak/>
        <w:t xml:space="preserve">registered Holder of a Security shall (save to the extent expressly provided for in this MOI) be entitled to exercise any of the rights associated with that Security and the Company shall not recognise any Person other than the registered Holder of a Security as the Holder (whether beneficial or otherwise) of that Security except to the extent set out in clause </w:t>
      </w:r>
      <w:r w:rsidR="00B96CE6" w:rsidRPr="00BD0BB8">
        <w:fldChar w:fldCharType="begin"/>
      </w:r>
      <w:r w:rsidR="00B96CE6" w:rsidRPr="00BD0BB8">
        <w:instrText xml:space="preserve"> REF _Ref80602910 \r \h </w:instrText>
      </w:r>
      <w:r w:rsidR="005841B5" w:rsidRPr="00BD0BB8">
        <w:instrText xml:space="preserve"> \* MERGEFORMAT </w:instrText>
      </w:r>
      <w:r w:rsidR="00B96CE6" w:rsidRPr="00BD0BB8">
        <w:fldChar w:fldCharType="separate"/>
      </w:r>
      <w:r w:rsidR="00633773">
        <w:t>15</w:t>
      </w:r>
      <w:r w:rsidR="00B96CE6" w:rsidRPr="00BD0BB8">
        <w:fldChar w:fldCharType="end"/>
      </w:r>
      <w:r w:rsidRPr="00BD0BB8">
        <w:t xml:space="preserve"> of this MOI (Shareholder’s right to information).</w:t>
      </w:r>
      <w:r w:rsidR="00A250D4" w:rsidRPr="00BD0BB8">
        <w:rPr>
          <w:rStyle w:val="FootnoteReference"/>
        </w:rPr>
        <w:t xml:space="preserve"> </w:t>
      </w:r>
      <w:r w:rsidR="00A250D4" w:rsidRPr="00BD0BB8">
        <w:rPr>
          <w:rStyle w:val="FootnoteReference"/>
        </w:rPr>
        <w:footnoteReference w:id="33"/>
      </w:r>
    </w:p>
    <w:p w14:paraId="6F96D4FC" w14:textId="77777777" w:rsidR="00BF5FBD" w:rsidRPr="00BD0BB8" w:rsidRDefault="00BF5FBD" w:rsidP="006A005A">
      <w:pPr>
        <w:pStyle w:val="DA2SecondLevel"/>
        <w:keepNext w:val="0"/>
        <w:widowControl w:val="0"/>
        <w:jc w:val="both"/>
      </w:pPr>
      <w:r w:rsidRPr="00BD0BB8">
        <w:t>The holding of the Company's Securities by a registered Holder for the beneficial interest of another Person is accordingly limited and restricted by this MOI.</w:t>
      </w:r>
    </w:p>
    <w:p w14:paraId="5C8BA4A1" w14:textId="77777777" w:rsidR="008D6950" w:rsidRDefault="008D6950" w:rsidP="006A005A">
      <w:pPr>
        <w:spacing w:line="240" w:lineRule="auto"/>
        <w:rPr>
          <w:rFonts w:cs="Arial"/>
          <w:b/>
          <w:bCs/>
          <w:caps/>
          <w:color w:val="000000"/>
          <w:u w:val="single"/>
        </w:rPr>
      </w:pPr>
      <w:r>
        <w:rPr>
          <w:u w:val="single"/>
        </w:rPr>
        <w:br w:type="page"/>
      </w:r>
    </w:p>
    <w:p w14:paraId="0875B9E4" w14:textId="6C21822B" w:rsidR="0015217C" w:rsidRPr="00BD0BB8" w:rsidRDefault="00BF3AAB" w:rsidP="006A005A">
      <w:pPr>
        <w:pStyle w:val="Heading1"/>
        <w:keepNext w:val="0"/>
        <w:widowControl w:val="0"/>
        <w:numPr>
          <w:ilvl w:val="0"/>
          <w:numId w:val="0"/>
        </w:numPr>
        <w:ind w:left="709" w:hanging="709"/>
        <w:jc w:val="both"/>
        <w:rPr>
          <w:rFonts w:ascii="Arial" w:hAnsi="Arial"/>
          <w:u w:val="single"/>
        </w:rPr>
      </w:pPr>
      <w:r w:rsidRPr="00BD0BB8">
        <w:rPr>
          <w:rFonts w:ascii="Arial" w:hAnsi="Arial"/>
          <w:u w:val="single"/>
        </w:rPr>
        <w:lastRenderedPageBreak/>
        <w:t>PART 4 – FINANCIAL INFORMATION AND RECORDS</w:t>
      </w:r>
    </w:p>
    <w:p w14:paraId="27691A80" w14:textId="77777777" w:rsidR="00462C16" w:rsidRPr="00BD0BB8" w:rsidRDefault="00BF3AAB" w:rsidP="006A005A">
      <w:pPr>
        <w:pStyle w:val="DA1FirstLevelHeading"/>
        <w:keepNext w:val="0"/>
        <w:widowControl w:val="0"/>
        <w:jc w:val="both"/>
      </w:pPr>
      <w:bookmarkStart w:id="102" w:name="_Ref453253971"/>
      <w:r w:rsidRPr="00BD0BB8">
        <w:t>FINANCIAL YEAR</w:t>
      </w:r>
      <w:bookmarkEnd w:id="95"/>
      <w:bookmarkEnd w:id="96"/>
      <w:bookmarkEnd w:id="102"/>
    </w:p>
    <w:p w14:paraId="062A5C99" w14:textId="5537D780" w:rsidR="00462C16" w:rsidRPr="00BD0BB8" w:rsidRDefault="00BF3AAB" w:rsidP="006A005A">
      <w:pPr>
        <w:pStyle w:val="DA0"/>
        <w:widowControl w:val="0"/>
        <w:rPr>
          <w:b/>
        </w:rPr>
      </w:pPr>
      <w:r w:rsidRPr="00BD0BB8">
        <w:t xml:space="preserve">The financial year of the Company is </w:t>
      </w:r>
      <w:r w:rsidR="00C73744" w:rsidRPr="00C73744">
        <w:t xml:space="preserve">[●] </w:t>
      </w:r>
      <w:r w:rsidR="001B6B39" w:rsidRPr="008D6950">
        <w:t xml:space="preserve"> </w:t>
      </w:r>
      <w:r w:rsidR="009006D8" w:rsidRPr="008D6950">
        <w:t xml:space="preserve">to </w:t>
      </w:r>
      <w:r w:rsidR="004762C6" w:rsidRPr="008D6950">
        <w:rPr>
          <w:rStyle w:val="FootnoteReference"/>
        </w:rPr>
        <w:footnoteReference w:id="34"/>
      </w:r>
      <w:r w:rsidR="00C73744">
        <w:t xml:space="preserve"> </w:t>
      </w:r>
      <w:r w:rsidR="00C73744" w:rsidRPr="00C73744">
        <w:t>[●]</w:t>
      </w:r>
      <w:r w:rsidR="00C36A35" w:rsidRPr="008D6950">
        <w:t>.</w:t>
      </w:r>
      <w:r w:rsidR="00C36A35" w:rsidRPr="00BD0BB8">
        <w:t xml:space="preserve"> </w:t>
      </w:r>
    </w:p>
    <w:p w14:paraId="172D333D" w14:textId="77777777" w:rsidR="007937FD" w:rsidRPr="00BD0BB8" w:rsidRDefault="00BF3AAB" w:rsidP="006A005A">
      <w:pPr>
        <w:pStyle w:val="DA1FirstLevelHeading"/>
        <w:keepNext w:val="0"/>
        <w:widowControl w:val="0"/>
        <w:jc w:val="both"/>
      </w:pPr>
      <w:bookmarkStart w:id="103" w:name="_Ref80602910"/>
      <w:r w:rsidRPr="00BD0BB8">
        <w:t>company RECORDS</w:t>
      </w:r>
      <w:bookmarkEnd w:id="103"/>
    </w:p>
    <w:p w14:paraId="3C136814" w14:textId="12E3B795" w:rsidR="00682E4E" w:rsidRPr="00BD0BB8" w:rsidRDefault="00BF3AAB" w:rsidP="006A005A">
      <w:pPr>
        <w:pStyle w:val="DA2SecondLevel"/>
        <w:keepNext w:val="0"/>
        <w:widowControl w:val="0"/>
        <w:jc w:val="both"/>
      </w:pPr>
      <w:bookmarkStart w:id="104" w:name="_Ref298322539"/>
      <w:r w:rsidRPr="00BD0BB8">
        <w:t xml:space="preserve">The Company shall </w:t>
      </w:r>
      <w:r w:rsidR="004762C6" w:rsidRPr="00BD0BB8">
        <w:rPr>
          <w:rStyle w:val="FootnoteReference"/>
          <w:color w:val="auto"/>
        </w:rPr>
        <w:footnoteReference w:id="35"/>
      </w:r>
      <w:r w:rsidR="001B6B39" w:rsidRPr="00BD0BB8">
        <w:t xml:space="preserve">deliver to the Shareholders </w:t>
      </w:r>
      <w:r w:rsidR="004762C6" w:rsidRPr="00BD0BB8">
        <w:rPr>
          <w:rStyle w:val="FootnoteReference"/>
          <w:color w:val="auto"/>
        </w:rPr>
        <w:footnoteReference w:id="36"/>
      </w:r>
      <w:r w:rsidR="001B6B39" w:rsidRPr="00BD0BB8">
        <w:t>the following documents</w:t>
      </w:r>
      <w:r w:rsidR="00D22DD7" w:rsidRPr="00BD0BB8">
        <w:t>:</w:t>
      </w:r>
    </w:p>
    <w:p w14:paraId="4F8C9497" w14:textId="2712175E" w:rsidR="00682E4E" w:rsidRPr="00BD0BB8" w:rsidRDefault="00BF3AAB" w:rsidP="006A005A">
      <w:pPr>
        <w:pStyle w:val="Heading3"/>
        <w:keepNext w:val="0"/>
        <w:keepLines w:val="0"/>
        <w:widowControl w:val="0"/>
        <w:rPr>
          <w:lang w:val="en-US"/>
        </w:rPr>
      </w:pPr>
      <w:r w:rsidRPr="00BD0BB8">
        <w:t xml:space="preserve">this </w:t>
      </w:r>
      <w:r w:rsidRPr="00BD0BB8">
        <w:rPr>
          <w:lang w:val="en-US"/>
        </w:rPr>
        <w:t>MOI</w:t>
      </w:r>
      <w:r w:rsidR="001B6B39" w:rsidRPr="00BD0BB8">
        <w:rPr>
          <w:lang w:val="en-US"/>
        </w:rPr>
        <w:t xml:space="preserve"> and any </w:t>
      </w:r>
      <w:r w:rsidRPr="00BD0BB8">
        <w:rPr>
          <w:lang w:val="en-US"/>
        </w:rPr>
        <w:t>amendments to th</w:t>
      </w:r>
      <w:r w:rsidR="0061390A" w:rsidRPr="00BD0BB8">
        <w:rPr>
          <w:lang w:val="en-US"/>
        </w:rPr>
        <w:t>is</w:t>
      </w:r>
      <w:r w:rsidRPr="00BD0BB8">
        <w:rPr>
          <w:lang w:val="en-US"/>
        </w:rPr>
        <w:t xml:space="preserve"> MOI;</w:t>
      </w:r>
    </w:p>
    <w:p w14:paraId="5F2D5014" w14:textId="77777777" w:rsidR="00682E4E" w:rsidRPr="00BD0BB8" w:rsidRDefault="00BF3AAB" w:rsidP="006A005A">
      <w:pPr>
        <w:pStyle w:val="Heading3"/>
        <w:keepNext w:val="0"/>
        <w:keepLines w:val="0"/>
        <w:widowControl w:val="0"/>
        <w:rPr>
          <w:lang w:val="en-US"/>
        </w:rPr>
      </w:pPr>
      <w:r w:rsidRPr="00BD0BB8">
        <w:rPr>
          <w:lang w:val="en-US"/>
        </w:rPr>
        <w:t>records in respect of Directors;</w:t>
      </w:r>
    </w:p>
    <w:p w14:paraId="6865E655" w14:textId="77777777" w:rsidR="00682E4E" w:rsidRPr="00BD0BB8" w:rsidRDefault="00BF3AAB" w:rsidP="006A005A">
      <w:pPr>
        <w:pStyle w:val="Heading3"/>
        <w:keepNext w:val="0"/>
        <w:keepLines w:val="0"/>
        <w:widowControl w:val="0"/>
        <w:rPr>
          <w:lang w:val="en-US"/>
        </w:rPr>
      </w:pPr>
      <w:r w:rsidRPr="00BD0BB8">
        <w:rPr>
          <w:lang w:val="en-US"/>
        </w:rPr>
        <w:t>Accounting Records required to be maintained by the Company;</w:t>
      </w:r>
    </w:p>
    <w:p w14:paraId="28422744" w14:textId="77777777" w:rsidR="00682E4E" w:rsidRPr="00BD0BB8" w:rsidRDefault="00BF3AAB" w:rsidP="006A005A">
      <w:pPr>
        <w:pStyle w:val="Heading3"/>
        <w:keepNext w:val="0"/>
        <w:keepLines w:val="0"/>
        <w:widowControl w:val="0"/>
        <w:rPr>
          <w:lang w:val="en-US"/>
        </w:rPr>
      </w:pPr>
      <w:r w:rsidRPr="00BD0BB8">
        <w:rPr>
          <w:lang w:val="en-US"/>
        </w:rPr>
        <w:t>notices and minutes of Shareholders Meetings;</w:t>
      </w:r>
    </w:p>
    <w:p w14:paraId="0CE9341F" w14:textId="7C174537" w:rsidR="00682E4E" w:rsidRPr="00BD0BB8" w:rsidRDefault="00BF3AAB" w:rsidP="006A005A">
      <w:pPr>
        <w:pStyle w:val="Heading3"/>
        <w:keepNext w:val="0"/>
        <w:keepLines w:val="0"/>
        <w:widowControl w:val="0"/>
        <w:rPr>
          <w:lang w:val="en-US"/>
        </w:rPr>
      </w:pPr>
      <w:r w:rsidRPr="00BD0BB8">
        <w:rPr>
          <w:lang w:val="en-US"/>
        </w:rPr>
        <w:t>communications generally to Holders;</w:t>
      </w:r>
      <w:r w:rsidR="00C36A35" w:rsidRPr="00BD0BB8">
        <w:rPr>
          <w:lang w:val="en-US"/>
        </w:rPr>
        <w:t xml:space="preserve"> and</w:t>
      </w:r>
    </w:p>
    <w:p w14:paraId="6981499F" w14:textId="77777777" w:rsidR="00BB381D" w:rsidRPr="00BD0BB8" w:rsidRDefault="00BF3AAB" w:rsidP="006A005A">
      <w:pPr>
        <w:pStyle w:val="Heading3"/>
        <w:keepNext w:val="0"/>
        <w:keepLines w:val="0"/>
        <w:widowControl w:val="0"/>
      </w:pPr>
      <w:r w:rsidRPr="00BD0BB8">
        <w:rPr>
          <w:lang w:val="en-US"/>
        </w:rPr>
        <w:t>the Securities</w:t>
      </w:r>
      <w:r w:rsidRPr="00BD0BB8">
        <w:t xml:space="preserve"> Register</w:t>
      </w:r>
      <w:r w:rsidR="00682E4E" w:rsidRPr="00BD0BB8">
        <w:t>.</w:t>
      </w:r>
      <w:bookmarkEnd w:id="104"/>
    </w:p>
    <w:p w14:paraId="1FF25A17" w14:textId="77777777" w:rsidR="0060386C" w:rsidRPr="00BD0BB8" w:rsidRDefault="0060386C" w:rsidP="006A005A">
      <w:pPr>
        <w:pStyle w:val="DA2SecondLevel"/>
        <w:keepNext w:val="0"/>
        <w:widowControl w:val="0"/>
        <w:jc w:val="both"/>
      </w:pPr>
      <w:r w:rsidRPr="00BD0BB8">
        <w:t xml:space="preserve">The Company shall further deliver to the Shareholders the following information at the following frequency: </w:t>
      </w:r>
    </w:p>
    <w:p w14:paraId="2F76EB77" w14:textId="77777777" w:rsidR="0060386C" w:rsidRPr="00BD0BB8" w:rsidRDefault="001B6B39" w:rsidP="006A005A">
      <w:pPr>
        <w:pStyle w:val="Heading3"/>
        <w:keepNext w:val="0"/>
        <w:keepLines w:val="0"/>
        <w:widowControl w:val="0"/>
      </w:pPr>
      <w:r w:rsidRPr="00BD0BB8">
        <w:t xml:space="preserve">annual </w:t>
      </w:r>
      <w:r w:rsidR="004D6700" w:rsidRPr="00BD0BB8">
        <w:t>F</w:t>
      </w:r>
      <w:r w:rsidRPr="00BD0BB8">
        <w:t xml:space="preserve">inancial </w:t>
      </w:r>
      <w:r w:rsidR="004D6700" w:rsidRPr="00BD0BB8">
        <w:t>S</w:t>
      </w:r>
      <w:r w:rsidRPr="00BD0BB8">
        <w:t>tatements</w:t>
      </w:r>
      <w:r w:rsidR="0060386C" w:rsidRPr="00BD0BB8">
        <w:t xml:space="preserve">, within 30 days of signature of such </w:t>
      </w:r>
      <w:r w:rsidR="004D6700" w:rsidRPr="00BD0BB8">
        <w:t>F</w:t>
      </w:r>
      <w:r w:rsidR="0060386C" w:rsidRPr="00BD0BB8">
        <w:t xml:space="preserve">inancial </w:t>
      </w:r>
      <w:r w:rsidR="004D6700" w:rsidRPr="00BD0BB8">
        <w:t>S</w:t>
      </w:r>
      <w:r w:rsidR="0060386C" w:rsidRPr="00BD0BB8">
        <w:t>tatements by the Company’s accountants;</w:t>
      </w:r>
    </w:p>
    <w:p w14:paraId="0033F62C" w14:textId="77777777" w:rsidR="001B6B39" w:rsidRPr="00BD0BB8" w:rsidRDefault="001B6B39" w:rsidP="006A005A">
      <w:pPr>
        <w:pStyle w:val="Heading3"/>
        <w:keepNext w:val="0"/>
        <w:keepLines w:val="0"/>
        <w:widowControl w:val="0"/>
      </w:pPr>
      <w:r w:rsidRPr="00BD0BB8">
        <w:t xml:space="preserve">monthly </w:t>
      </w:r>
      <w:r w:rsidR="004D6700" w:rsidRPr="00BD0BB8">
        <w:t>F</w:t>
      </w:r>
      <w:r w:rsidRPr="00BD0BB8">
        <w:t xml:space="preserve">inancial </w:t>
      </w:r>
      <w:r w:rsidR="004D6700" w:rsidRPr="00BD0BB8">
        <w:t>S</w:t>
      </w:r>
      <w:r w:rsidRPr="00BD0BB8">
        <w:t>tatements (including management accounts), and other information as determined by the Board</w:t>
      </w:r>
      <w:r w:rsidR="0060386C" w:rsidRPr="00BD0BB8">
        <w:t>, within 30 days of the end of the month in question</w:t>
      </w:r>
      <w:r w:rsidRPr="00BD0BB8">
        <w:t xml:space="preserve">; </w:t>
      </w:r>
    </w:p>
    <w:p w14:paraId="6477A377" w14:textId="77777777" w:rsidR="001B6B39" w:rsidRPr="00BD0BB8" w:rsidRDefault="001B6B39" w:rsidP="006A005A">
      <w:pPr>
        <w:pStyle w:val="Heading3"/>
        <w:keepNext w:val="0"/>
        <w:keepLines w:val="0"/>
        <w:widowControl w:val="0"/>
      </w:pPr>
      <w:r w:rsidRPr="00BD0BB8">
        <w:t>a comprehensive operating budget forecasting the Company’s revenues, expenses, and cash position on a month-to-month basis for the upcoming fiscal year</w:t>
      </w:r>
      <w:r w:rsidR="0060386C" w:rsidRPr="00BD0BB8">
        <w:t xml:space="preserve"> – thirty days prior to the commencement of the fiscal year to which </w:t>
      </w:r>
      <w:r w:rsidR="0060386C" w:rsidRPr="00BD0BB8">
        <w:lastRenderedPageBreak/>
        <w:t>the forecasts relate</w:t>
      </w:r>
      <w:r w:rsidRPr="00BD0BB8">
        <w:t xml:space="preserve">; </w:t>
      </w:r>
    </w:p>
    <w:p w14:paraId="5CC6EFE3" w14:textId="77777777" w:rsidR="001B6B39" w:rsidRPr="00BD0BB8" w:rsidRDefault="0060386C" w:rsidP="006A005A">
      <w:pPr>
        <w:pStyle w:val="Heading3"/>
        <w:keepNext w:val="0"/>
        <w:keepLines w:val="0"/>
        <w:widowControl w:val="0"/>
      </w:pPr>
      <w:r w:rsidRPr="00BD0BB8">
        <w:t>the Securities Register,</w:t>
      </w:r>
      <w:r w:rsidR="001B6B39" w:rsidRPr="00BD0BB8">
        <w:t xml:space="preserve"> immediately after any changes </w:t>
      </w:r>
      <w:r w:rsidRPr="00BD0BB8">
        <w:t>thereto</w:t>
      </w:r>
      <w:r w:rsidR="001B6B39" w:rsidRPr="00BD0BB8">
        <w:t xml:space="preserve">; </w:t>
      </w:r>
      <w:r w:rsidR="007F3A50" w:rsidRPr="00BD0BB8">
        <w:t>and</w:t>
      </w:r>
    </w:p>
    <w:p w14:paraId="56EDAFA8" w14:textId="77777777" w:rsidR="001B6B39" w:rsidRPr="00BD0BB8" w:rsidRDefault="001B6B39" w:rsidP="006A005A">
      <w:pPr>
        <w:pStyle w:val="Heading3"/>
        <w:keepNext w:val="0"/>
        <w:keepLines w:val="0"/>
        <w:widowControl w:val="0"/>
      </w:pPr>
      <w:r w:rsidRPr="00BD0BB8">
        <w:t xml:space="preserve">such additional </w:t>
      </w:r>
      <w:r w:rsidR="007F3A50" w:rsidRPr="00BD0BB8">
        <w:t xml:space="preserve">information </w:t>
      </w:r>
      <w:r w:rsidRPr="00BD0BB8">
        <w:t>reasonably requested by the Investor as being required for purposes of monitoring, valuing and assessing its investment into the Company</w:t>
      </w:r>
      <w:r w:rsidR="007F3A50" w:rsidRPr="00BD0BB8">
        <w:t>.</w:t>
      </w:r>
    </w:p>
    <w:p w14:paraId="777891DA" w14:textId="23C7478B" w:rsidR="00BB381D" w:rsidRPr="00BD0BB8" w:rsidRDefault="00BF3AAB" w:rsidP="006A005A">
      <w:pPr>
        <w:pStyle w:val="DA2SecondLevel"/>
        <w:keepNext w:val="0"/>
        <w:widowControl w:val="0"/>
        <w:jc w:val="both"/>
        <w:rPr>
          <w:b/>
        </w:rPr>
      </w:pPr>
      <w:r w:rsidRPr="00BD0BB8">
        <w:t xml:space="preserve">Apart from the Holders, no other Person shall be entitled to inspect any of the documents of the Company (other than the Securities Register) unless expressly authorised </w:t>
      </w:r>
      <w:r w:rsidR="001B6B39" w:rsidRPr="00BD0BB8">
        <w:t xml:space="preserve">by the Act, or </w:t>
      </w:r>
      <w:r w:rsidR="004A2044" w:rsidRPr="00BD0BB8">
        <w:t xml:space="preserve">in Writing </w:t>
      </w:r>
      <w:r w:rsidRPr="00BD0BB8">
        <w:t>by the Board</w:t>
      </w:r>
      <w:r w:rsidR="00C36A35" w:rsidRPr="00BD0BB8">
        <w:t>,</w:t>
      </w:r>
      <w:r w:rsidRPr="00BD0BB8">
        <w:t xml:space="preserve"> or by Ordinary Resolution.</w:t>
      </w:r>
      <w:r w:rsidR="009F3213" w:rsidRPr="00BD0BB8">
        <w:rPr>
          <w:rStyle w:val="FootnoteReference"/>
          <w:color w:val="auto"/>
        </w:rPr>
        <w:footnoteReference w:id="37"/>
      </w:r>
    </w:p>
    <w:p w14:paraId="5C739DC3" w14:textId="77777777" w:rsidR="00BA2908" w:rsidRDefault="00BA2908" w:rsidP="006A005A">
      <w:pPr>
        <w:spacing w:line="240" w:lineRule="auto"/>
        <w:rPr>
          <w:rFonts w:cs="Arial"/>
          <w:b/>
          <w:bCs/>
          <w:caps/>
          <w:u w:val="single"/>
        </w:rPr>
      </w:pPr>
      <w:bookmarkStart w:id="105" w:name="_Ref256534387"/>
      <w:bookmarkStart w:id="106" w:name="_Toc256693260"/>
      <w:bookmarkStart w:id="107" w:name="_Toc256693492"/>
      <w:bookmarkStart w:id="108" w:name="_Toc256693638"/>
      <w:bookmarkStart w:id="109" w:name="_Toc256695178"/>
      <w:bookmarkStart w:id="110" w:name="_Toc256695494"/>
      <w:bookmarkEnd w:id="97"/>
      <w:bookmarkEnd w:id="98"/>
      <w:bookmarkEnd w:id="99"/>
      <w:bookmarkEnd w:id="100"/>
      <w:bookmarkEnd w:id="101"/>
      <w:r>
        <w:rPr>
          <w:u w:val="single"/>
        </w:rPr>
        <w:br w:type="page"/>
      </w:r>
    </w:p>
    <w:p w14:paraId="67803F85" w14:textId="601D3B2A" w:rsidR="008C71E2" w:rsidRPr="00BD0BB8" w:rsidRDefault="00BF3AAB" w:rsidP="006A005A">
      <w:pPr>
        <w:pStyle w:val="Heading1"/>
        <w:keepNext w:val="0"/>
        <w:widowControl w:val="0"/>
        <w:numPr>
          <w:ilvl w:val="0"/>
          <w:numId w:val="0"/>
        </w:numPr>
        <w:ind w:left="709" w:hanging="709"/>
        <w:jc w:val="both"/>
        <w:rPr>
          <w:rFonts w:ascii="Arial" w:hAnsi="Arial"/>
          <w:color w:val="auto"/>
          <w:u w:val="single"/>
        </w:rPr>
      </w:pPr>
      <w:r w:rsidRPr="00BD0BB8">
        <w:rPr>
          <w:rFonts w:ascii="Arial" w:hAnsi="Arial"/>
          <w:color w:val="auto"/>
          <w:u w:val="single"/>
        </w:rPr>
        <w:lastRenderedPageBreak/>
        <w:t>PART 5</w:t>
      </w:r>
      <w:r w:rsidR="00D14D49" w:rsidRPr="00BD0BB8">
        <w:rPr>
          <w:rFonts w:ascii="Arial" w:hAnsi="Arial"/>
          <w:color w:val="auto"/>
          <w:u w:val="single"/>
        </w:rPr>
        <w:t xml:space="preserve"> </w:t>
      </w:r>
      <w:r w:rsidRPr="00BD0BB8">
        <w:rPr>
          <w:rFonts w:ascii="Arial" w:hAnsi="Arial"/>
          <w:color w:val="auto"/>
          <w:u w:val="single"/>
        </w:rPr>
        <w:t>–</w:t>
      </w:r>
      <w:r w:rsidR="000750FE" w:rsidRPr="00BD0BB8">
        <w:rPr>
          <w:rFonts w:ascii="Arial" w:hAnsi="Arial"/>
          <w:color w:val="auto"/>
          <w:u w:val="single"/>
        </w:rPr>
        <w:t xml:space="preserve"> SHAREHOLDERS</w:t>
      </w:r>
    </w:p>
    <w:p w14:paraId="3E11BDBD" w14:textId="77777777" w:rsidR="00462C16" w:rsidRPr="00BD0BB8" w:rsidRDefault="00BF3AAB" w:rsidP="006A005A">
      <w:pPr>
        <w:pStyle w:val="DA1FirstLevelHeading"/>
        <w:keepNext w:val="0"/>
        <w:widowControl w:val="0"/>
        <w:jc w:val="both"/>
      </w:pPr>
      <w:bookmarkStart w:id="111" w:name="_Ref244607160"/>
      <w:r w:rsidRPr="00BD0BB8">
        <w:t>SHAREHOLDERS</w:t>
      </w:r>
      <w:bookmarkEnd w:id="105"/>
      <w:r w:rsidRPr="00BD0BB8">
        <w:t xml:space="preserve"> MEETINGS</w:t>
      </w:r>
      <w:bookmarkEnd w:id="106"/>
      <w:bookmarkEnd w:id="107"/>
      <w:bookmarkEnd w:id="108"/>
      <w:bookmarkEnd w:id="109"/>
      <w:bookmarkEnd w:id="110"/>
      <w:bookmarkEnd w:id="111"/>
    </w:p>
    <w:p w14:paraId="49A8CF21" w14:textId="0400BAE1" w:rsidR="003D4844" w:rsidRPr="00BD0BB8" w:rsidRDefault="00BF3AAB" w:rsidP="006A005A">
      <w:pPr>
        <w:pStyle w:val="DA2SecondLevel"/>
        <w:keepNext w:val="0"/>
        <w:widowControl w:val="0"/>
        <w:jc w:val="both"/>
      </w:pPr>
      <w:bookmarkStart w:id="112" w:name="_Ref453665182"/>
      <w:bookmarkStart w:id="113" w:name="_Ref256579117"/>
      <w:bookmarkStart w:id="114" w:name="_Ref255723384"/>
      <w:r w:rsidRPr="00BD0BB8">
        <w:t>The Company shall hold a Shareholders Meeting in order to consider one or more resolutions</w:t>
      </w:r>
      <w:r w:rsidR="00211ECB" w:rsidRPr="00BD0BB8">
        <w:t>.</w:t>
      </w:r>
      <w:bookmarkEnd w:id="112"/>
      <w:r w:rsidR="00B824D0" w:rsidRPr="00BD0BB8">
        <w:rPr>
          <w:rStyle w:val="FootnoteReference"/>
          <w:color w:val="auto"/>
        </w:rPr>
        <w:footnoteReference w:id="38"/>
      </w:r>
    </w:p>
    <w:p w14:paraId="6C1F0C2A" w14:textId="6DC13284" w:rsidR="0015217C" w:rsidRPr="00BD0BB8" w:rsidRDefault="00BF3AAB" w:rsidP="006A005A">
      <w:pPr>
        <w:widowControl w:val="0"/>
        <w:rPr>
          <w:rFonts w:cs="Arial"/>
          <w:u w:val="single"/>
        </w:rPr>
      </w:pPr>
      <w:r w:rsidRPr="00BD0BB8">
        <w:rPr>
          <w:rFonts w:cs="Arial"/>
          <w:u w:val="single"/>
        </w:rPr>
        <w:t>Round robin resolutions</w:t>
      </w:r>
      <w:r w:rsidR="00C15439" w:rsidRPr="00BD0BB8">
        <w:rPr>
          <w:rStyle w:val="FootnoteReference"/>
          <w:rFonts w:cs="Arial"/>
          <w:u w:val="single"/>
        </w:rPr>
        <w:footnoteReference w:id="39"/>
      </w:r>
    </w:p>
    <w:p w14:paraId="7E2285AA" w14:textId="77777777" w:rsidR="005841B5" w:rsidRPr="00BD0BB8" w:rsidRDefault="005841B5" w:rsidP="006A005A">
      <w:pPr>
        <w:widowControl w:val="0"/>
        <w:rPr>
          <w:rFonts w:cs="Arial"/>
        </w:rPr>
      </w:pPr>
    </w:p>
    <w:p w14:paraId="0D6EC5DE" w14:textId="77777777" w:rsidR="003D4844" w:rsidRPr="00BD0BB8" w:rsidRDefault="00BF3AAB" w:rsidP="006A005A">
      <w:pPr>
        <w:pStyle w:val="DA2SecondLevel"/>
        <w:keepNext w:val="0"/>
        <w:widowControl w:val="0"/>
        <w:jc w:val="both"/>
      </w:pPr>
      <w:bookmarkStart w:id="115" w:name="_Ref178873637"/>
      <w:bookmarkStart w:id="116" w:name="_Ref453676400"/>
      <w:r w:rsidRPr="00BD0BB8">
        <w:rPr>
          <w:lang w:val="en-US"/>
        </w:rPr>
        <w:t xml:space="preserve">Any resolution that could be voted on at a </w:t>
      </w:r>
      <w:r w:rsidR="00A561CA" w:rsidRPr="00BD0BB8">
        <w:rPr>
          <w:lang w:val="en-US"/>
        </w:rPr>
        <w:t xml:space="preserve">Shareholders Meeting </w:t>
      </w:r>
      <w:r w:rsidR="00B74CFF" w:rsidRPr="00BD0BB8">
        <w:rPr>
          <w:lang w:val="en-US"/>
        </w:rPr>
        <w:t>may instead be</w:t>
      </w:r>
      <w:r w:rsidR="00D22DD7" w:rsidRPr="00BD0BB8">
        <w:rPr>
          <w:lang w:val="en-US"/>
        </w:rPr>
        <w:t>:</w:t>
      </w:r>
      <w:bookmarkEnd w:id="115"/>
      <w:bookmarkEnd w:id="116"/>
    </w:p>
    <w:p w14:paraId="6DA999E8" w14:textId="77777777" w:rsidR="003D4844" w:rsidRPr="00BD0BB8" w:rsidRDefault="00BF3AAB" w:rsidP="006A005A">
      <w:pPr>
        <w:pStyle w:val="Heading3"/>
        <w:keepNext w:val="0"/>
        <w:keepLines w:val="0"/>
        <w:widowControl w:val="0"/>
      </w:pPr>
      <w:r w:rsidRPr="00BD0BB8">
        <w:rPr>
          <w:lang w:val="en-US"/>
        </w:rPr>
        <w:t xml:space="preserve">submitted for consideration to the </w:t>
      </w:r>
      <w:r w:rsidR="009E01E1" w:rsidRPr="00BD0BB8">
        <w:rPr>
          <w:lang w:val="en-US"/>
        </w:rPr>
        <w:t>S</w:t>
      </w:r>
      <w:r w:rsidRPr="00BD0BB8">
        <w:rPr>
          <w:lang w:val="en-US"/>
        </w:rPr>
        <w:t xml:space="preserve">hareholders entitled to exercise </w:t>
      </w:r>
      <w:r w:rsidR="0047464F" w:rsidRPr="00BD0BB8">
        <w:rPr>
          <w:lang w:val="en-US"/>
        </w:rPr>
        <w:t xml:space="preserve">Voting Rights </w:t>
      </w:r>
      <w:r w:rsidRPr="00BD0BB8">
        <w:rPr>
          <w:lang w:val="en-US"/>
        </w:rPr>
        <w:t>in relation to the resolution; and</w:t>
      </w:r>
    </w:p>
    <w:p w14:paraId="1E824555" w14:textId="6262FEE1" w:rsidR="003D4844" w:rsidRPr="00BD0BB8" w:rsidRDefault="00BF3AAB" w:rsidP="006A005A">
      <w:pPr>
        <w:pStyle w:val="Heading3"/>
        <w:keepNext w:val="0"/>
        <w:keepLines w:val="0"/>
        <w:widowControl w:val="0"/>
      </w:pPr>
      <w:r w:rsidRPr="00BD0BB8">
        <w:rPr>
          <w:lang w:val="en-US"/>
        </w:rPr>
        <w:t xml:space="preserve">voted on in Writing by </w:t>
      </w:r>
      <w:r w:rsidR="0047464F" w:rsidRPr="00BD0BB8">
        <w:rPr>
          <w:lang w:val="en-US"/>
        </w:rPr>
        <w:t xml:space="preserve">Shareholders </w:t>
      </w:r>
      <w:r w:rsidRPr="00BD0BB8">
        <w:rPr>
          <w:lang w:val="en-US"/>
        </w:rPr>
        <w:t xml:space="preserve">entitled to exercise </w:t>
      </w:r>
      <w:r w:rsidR="004A2044" w:rsidRPr="00BD0BB8">
        <w:rPr>
          <w:lang w:val="en-US"/>
        </w:rPr>
        <w:t xml:space="preserve">Voting Rights </w:t>
      </w:r>
      <w:r w:rsidRPr="00BD0BB8">
        <w:rPr>
          <w:lang w:val="en-US"/>
        </w:rPr>
        <w:t xml:space="preserve">in relation to the resolution within 20 </w:t>
      </w:r>
      <w:r w:rsidR="004A2044" w:rsidRPr="00BD0BB8">
        <w:rPr>
          <w:lang w:val="en-US"/>
        </w:rPr>
        <w:t xml:space="preserve">(twenty) </w:t>
      </w:r>
      <w:r w:rsidR="00B57091" w:rsidRPr="00BD0BB8">
        <w:rPr>
          <w:lang w:val="en-US"/>
        </w:rPr>
        <w:t xml:space="preserve">Business Days </w:t>
      </w:r>
      <w:r w:rsidRPr="00BD0BB8">
        <w:rPr>
          <w:lang w:val="en-US"/>
        </w:rPr>
        <w:t>after the resolution was submitted to them.</w:t>
      </w:r>
    </w:p>
    <w:p w14:paraId="06AA7EA9" w14:textId="541DB8DF" w:rsidR="003D4844" w:rsidRPr="00BD0BB8" w:rsidRDefault="00BF3AAB" w:rsidP="006A005A">
      <w:pPr>
        <w:pStyle w:val="DA2SecondLevel"/>
        <w:keepNext w:val="0"/>
        <w:widowControl w:val="0"/>
        <w:jc w:val="both"/>
        <w:rPr>
          <w:lang w:val="en-US"/>
        </w:rPr>
      </w:pPr>
      <w:r w:rsidRPr="00BD0BB8">
        <w:rPr>
          <w:lang w:val="en-US"/>
        </w:rPr>
        <w:t xml:space="preserve">A resolution contemplated in clause </w:t>
      </w:r>
      <w:r w:rsidR="0015217C" w:rsidRPr="00BD0BB8">
        <w:rPr>
          <w:lang w:val="en-US" w:eastAsia="en-ZA"/>
        </w:rPr>
        <w:fldChar w:fldCharType="begin"/>
      </w:r>
      <w:r w:rsidR="0015217C" w:rsidRPr="00BD0BB8">
        <w:rPr>
          <w:lang w:val="en-US" w:eastAsia="en-ZA"/>
        </w:rPr>
        <w:instrText xml:space="preserve"> REF _Ref178873637 \r \h </w:instrText>
      </w:r>
      <w:r w:rsidR="00AD5D04" w:rsidRPr="00BD0BB8">
        <w:rPr>
          <w:lang w:val="en-US" w:eastAsia="en-ZA"/>
        </w:rPr>
        <w:instrText xml:space="preserve"> \* MERGEFORMAT </w:instrText>
      </w:r>
      <w:r w:rsidR="0015217C" w:rsidRPr="00BD0BB8">
        <w:rPr>
          <w:lang w:val="en-US" w:eastAsia="en-ZA"/>
        </w:rPr>
      </w:r>
      <w:r w:rsidR="0015217C" w:rsidRPr="00BD0BB8">
        <w:rPr>
          <w:lang w:val="en-US" w:eastAsia="en-ZA"/>
        </w:rPr>
        <w:fldChar w:fldCharType="separate"/>
      </w:r>
      <w:r w:rsidR="00633773">
        <w:rPr>
          <w:lang w:val="en-US" w:eastAsia="en-ZA"/>
        </w:rPr>
        <w:t>16.2</w:t>
      </w:r>
      <w:r w:rsidR="0015217C" w:rsidRPr="00BD0BB8">
        <w:rPr>
          <w:lang w:val="en-US" w:eastAsia="en-ZA"/>
        </w:rPr>
        <w:fldChar w:fldCharType="end"/>
      </w:r>
      <w:r w:rsidR="00D22DD7" w:rsidRPr="00BD0BB8">
        <w:rPr>
          <w:lang w:val="en-US"/>
        </w:rPr>
        <w:t>:</w:t>
      </w:r>
    </w:p>
    <w:p w14:paraId="55C9D663" w14:textId="77777777" w:rsidR="003D4844" w:rsidRPr="00BD0BB8" w:rsidRDefault="00BF3AAB" w:rsidP="006A005A">
      <w:pPr>
        <w:pStyle w:val="Heading3"/>
        <w:keepNext w:val="0"/>
        <w:keepLines w:val="0"/>
        <w:widowControl w:val="0"/>
        <w:rPr>
          <w:lang w:val="en-US"/>
        </w:rPr>
      </w:pPr>
      <w:r w:rsidRPr="00BD0BB8">
        <w:rPr>
          <w:lang w:val="en-US"/>
        </w:rPr>
        <w:t xml:space="preserve">will have been adopted if it is supported by Persons entitled to exercise sufficient </w:t>
      </w:r>
      <w:r w:rsidR="004A2044" w:rsidRPr="00BD0BB8">
        <w:rPr>
          <w:lang w:val="en-US"/>
        </w:rPr>
        <w:t xml:space="preserve">Voting Rights </w:t>
      </w:r>
      <w:r w:rsidRPr="00BD0BB8">
        <w:rPr>
          <w:lang w:val="en-US"/>
        </w:rPr>
        <w:t>for it to have been adopted as an Ordinary or S</w:t>
      </w:r>
      <w:r w:rsidR="00064DD7" w:rsidRPr="00BD0BB8">
        <w:rPr>
          <w:lang w:val="en-US"/>
        </w:rPr>
        <w:t>pecial R</w:t>
      </w:r>
      <w:r w:rsidRPr="00BD0BB8">
        <w:rPr>
          <w:lang w:val="en-US"/>
        </w:rPr>
        <w:t>esolution, as the case may be, at a properly constituted Shareholders Meeting; and</w:t>
      </w:r>
    </w:p>
    <w:p w14:paraId="3B326843" w14:textId="77777777" w:rsidR="00462C16" w:rsidRPr="00BD0BB8" w:rsidRDefault="00BF3AAB" w:rsidP="006A005A">
      <w:pPr>
        <w:pStyle w:val="Heading3"/>
        <w:keepNext w:val="0"/>
        <w:keepLines w:val="0"/>
        <w:widowControl w:val="0"/>
        <w:rPr>
          <w:lang w:val="en-US"/>
        </w:rPr>
      </w:pPr>
      <w:r w:rsidRPr="00BD0BB8">
        <w:rPr>
          <w:lang w:val="en-US"/>
        </w:rPr>
        <w:t xml:space="preserve">if adopted, has the same effect as if it had been approved by voting at a </w:t>
      </w:r>
      <w:r w:rsidR="00A561CA" w:rsidRPr="00BD0BB8">
        <w:rPr>
          <w:lang w:val="en-US"/>
        </w:rPr>
        <w:t>Shareholders Meeting</w:t>
      </w:r>
      <w:r w:rsidR="00DB607C" w:rsidRPr="00BD0BB8">
        <w:rPr>
          <w:lang w:val="en-US"/>
        </w:rPr>
        <w:t>.</w:t>
      </w:r>
    </w:p>
    <w:p w14:paraId="17D69315" w14:textId="77777777" w:rsidR="00792486" w:rsidRPr="00BD0BB8" w:rsidRDefault="00BF3AAB" w:rsidP="006A005A">
      <w:pPr>
        <w:widowControl w:val="0"/>
        <w:rPr>
          <w:rFonts w:cs="Arial"/>
          <w:u w:val="single"/>
          <w:lang w:val="en-US"/>
        </w:rPr>
      </w:pPr>
      <w:r w:rsidRPr="00BD0BB8">
        <w:rPr>
          <w:rFonts w:cs="Arial"/>
          <w:u w:val="single"/>
          <w:lang w:val="en-US"/>
        </w:rPr>
        <w:t>Calling of</w:t>
      </w:r>
      <w:r w:rsidR="00D14D49" w:rsidRPr="00BD0BB8">
        <w:rPr>
          <w:rFonts w:cs="Arial"/>
          <w:u w:val="single"/>
          <w:lang w:val="en-US"/>
        </w:rPr>
        <w:t xml:space="preserve"> Shareholders</w:t>
      </w:r>
      <w:r w:rsidRPr="00BD0BB8">
        <w:rPr>
          <w:rFonts w:cs="Arial"/>
          <w:u w:val="single"/>
          <w:lang w:val="en-US"/>
        </w:rPr>
        <w:t xml:space="preserve"> </w:t>
      </w:r>
      <w:r w:rsidR="00D14D49" w:rsidRPr="00BD0BB8">
        <w:rPr>
          <w:rFonts w:cs="Arial"/>
          <w:u w:val="single"/>
          <w:lang w:val="en-US"/>
        </w:rPr>
        <w:t>Meetings</w:t>
      </w:r>
    </w:p>
    <w:p w14:paraId="1DD53DB6" w14:textId="4025C8A6" w:rsidR="005841B5" w:rsidRPr="00BD0BB8" w:rsidRDefault="005841B5" w:rsidP="006A005A">
      <w:pPr>
        <w:widowControl w:val="0"/>
        <w:rPr>
          <w:rFonts w:cs="Arial"/>
          <w:u w:val="single"/>
          <w:lang w:val="en-US" w:eastAsia="en-ZA"/>
        </w:rPr>
      </w:pPr>
    </w:p>
    <w:p w14:paraId="18AD219F" w14:textId="77777777" w:rsidR="00462C16" w:rsidRPr="00BD0BB8" w:rsidRDefault="00BF3AAB" w:rsidP="006A005A">
      <w:pPr>
        <w:pStyle w:val="DA2SecondLevel"/>
        <w:keepNext w:val="0"/>
        <w:widowControl w:val="0"/>
        <w:jc w:val="both"/>
      </w:pPr>
      <w:bookmarkStart w:id="117" w:name="_Ref80599583"/>
      <w:r w:rsidRPr="00BD0BB8">
        <w:t>The Company must hold a Shareholders Meeting</w:t>
      </w:r>
      <w:r w:rsidR="00D22DD7" w:rsidRPr="00BD0BB8">
        <w:t>:</w:t>
      </w:r>
      <w:bookmarkEnd w:id="117"/>
    </w:p>
    <w:p w14:paraId="44EF9492" w14:textId="048F53FC" w:rsidR="00462C16" w:rsidRPr="00BD0BB8" w:rsidRDefault="00BF3AAB" w:rsidP="006A005A">
      <w:pPr>
        <w:pStyle w:val="Heading3"/>
        <w:keepNext w:val="0"/>
        <w:keepLines w:val="0"/>
        <w:widowControl w:val="0"/>
        <w:rPr>
          <w:lang w:val="en-US"/>
        </w:rPr>
      </w:pPr>
      <w:bookmarkStart w:id="118" w:name="_Ref299114634"/>
      <w:r w:rsidRPr="00BD0BB8">
        <w:rPr>
          <w:lang w:val="en-US"/>
        </w:rPr>
        <w:lastRenderedPageBreak/>
        <w:t xml:space="preserve">once in every calendar year, but no more than 15 </w:t>
      </w:r>
      <w:r w:rsidR="0029725B" w:rsidRPr="00BD0BB8">
        <w:rPr>
          <w:lang w:val="en-US"/>
        </w:rPr>
        <w:t xml:space="preserve">(fifteen) </w:t>
      </w:r>
      <w:r w:rsidRPr="00BD0BB8">
        <w:rPr>
          <w:lang w:val="en-US"/>
        </w:rPr>
        <w:t xml:space="preserve">months after the date of the previous </w:t>
      </w:r>
      <w:r w:rsidR="004A2044" w:rsidRPr="00BD0BB8">
        <w:rPr>
          <w:lang w:val="en-US"/>
        </w:rPr>
        <w:t>annual Shareholders Meeting</w:t>
      </w:r>
      <w:r w:rsidR="0029725B" w:rsidRPr="00BD0BB8">
        <w:rPr>
          <w:lang w:val="en-US"/>
        </w:rPr>
        <w:t>;</w:t>
      </w:r>
      <w:bookmarkEnd w:id="118"/>
      <w:r w:rsidR="0015217C" w:rsidRPr="00BD0BB8">
        <w:rPr>
          <w:lang w:val="en-US"/>
        </w:rPr>
        <w:t xml:space="preserve"> </w:t>
      </w:r>
      <w:r w:rsidR="005841B5" w:rsidRPr="00BD0BB8">
        <w:rPr>
          <w:lang w:val="en-US"/>
        </w:rPr>
        <w:t xml:space="preserve"> </w:t>
      </w:r>
    </w:p>
    <w:p w14:paraId="36238DA4" w14:textId="0995AF8F" w:rsidR="00462C16" w:rsidRPr="00BD0BB8" w:rsidRDefault="00BF3AAB" w:rsidP="006A005A">
      <w:pPr>
        <w:pStyle w:val="Heading3"/>
        <w:keepNext w:val="0"/>
        <w:keepLines w:val="0"/>
        <w:widowControl w:val="0"/>
        <w:rPr>
          <w:lang w:val="en-US"/>
        </w:rPr>
      </w:pPr>
      <w:r w:rsidRPr="00BD0BB8">
        <w:rPr>
          <w:lang w:val="en-US"/>
        </w:rPr>
        <w:t xml:space="preserve">at any time that the Board is required by the </w:t>
      </w:r>
      <w:r w:rsidR="0050570C" w:rsidRPr="00BD0BB8">
        <w:rPr>
          <w:lang w:val="en-US"/>
        </w:rPr>
        <w:t>Act</w:t>
      </w:r>
      <w:r w:rsidRPr="00BD0BB8">
        <w:rPr>
          <w:lang w:val="en-US"/>
        </w:rPr>
        <w:t xml:space="preserve"> or th</w:t>
      </w:r>
      <w:r w:rsidR="00043BD7" w:rsidRPr="00BD0BB8">
        <w:rPr>
          <w:lang w:val="en-US"/>
        </w:rPr>
        <w:t>is</w:t>
      </w:r>
      <w:r w:rsidRPr="00BD0BB8">
        <w:rPr>
          <w:lang w:val="en-US"/>
        </w:rPr>
        <w:t xml:space="preserve"> MOI to refer a matter to Holders entitled to vote for decision; and</w:t>
      </w:r>
    </w:p>
    <w:p w14:paraId="0CFD95F0" w14:textId="77777777" w:rsidR="00462C16" w:rsidRPr="00BD0BB8" w:rsidRDefault="00BF3AAB" w:rsidP="006A005A">
      <w:pPr>
        <w:pStyle w:val="Heading3"/>
        <w:keepNext w:val="0"/>
        <w:keepLines w:val="0"/>
        <w:widowControl w:val="0"/>
      </w:pPr>
      <w:r w:rsidRPr="00BD0BB8">
        <w:rPr>
          <w:lang w:val="en-US"/>
        </w:rPr>
        <w:t>whenever required to</w:t>
      </w:r>
      <w:r w:rsidRPr="00BD0BB8">
        <w:t xml:space="preserve"> fill a vacancy on the Board.</w:t>
      </w:r>
    </w:p>
    <w:p w14:paraId="776DC4FE" w14:textId="4E7CBF97" w:rsidR="00F86EBF" w:rsidRPr="00BD0BB8" w:rsidRDefault="00BF3AAB" w:rsidP="006A005A">
      <w:pPr>
        <w:pStyle w:val="DA2SecondLevel"/>
        <w:keepNext w:val="0"/>
        <w:widowControl w:val="0"/>
        <w:jc w:val="both"/>
      </w:pPr>
      <w:bookmarkStart w:id="119" w:name="_Ref178873929"/>
      <w:r w:rsidRPr="00BD0BB8">
        <w:t xml:space="preserve">Each resolution shall be expressed with sufficient clarity and specificity and accompanied by sufficient information </w:t>
      </w:r>
      <w:r w:rsidR="000E5CED" w:rsidRPr="00BD0BB8">
        <w:t xml:space="preserve">and/or </w:t>
      </w:r>
      <w:r w:rsidRPr="00BD0BB8">
        <w:t>explanatory material to enable a Person who is entitled to vote on the resolution to determine whether to participate in the Shareholders Meeting, if applicable, and to seek to influence the outcome of the vote on the resolution.</w:t>
      </w:r>
      <w:bookmarkEnd w:id="119"/>
    </w:p>
    <w:p w14:paraId="492B35F0" w14:textId="207AA3C1" w:rsidR="00462C16" w:rsidRPr="00BD0BB8" w:rsidRDefault="00BF3AAB" w:rsidP="006A005A">
      <w:pPr>
        <w:pStyle w:val="DA2SecondLevel"/>
        <w:keepNext w:val="0"/>
        <w:widowControl w:val="0"/>
        <w:jc w:val="both"/>
      </w:pPr>
      <w:r w:rsidRPr="00BD0BB8">
        <w:t xml:space="preserve">Once a resolution has been approved, it may not be challenged or impugned on the ground that it did not comply with </w:t>
      </w:r>
      <w:r w:rsidR="009A30E3" w:rsidRPr="00BD0BB8">
        <w:t xml:space="preserve">the provisions of clause </w:t>
      </w:r>
      <w:r w:rsidR="0015217C" w:rsidRPr="00BD0BB8">
        <w:fldChar w:fldCharType="begin"/>
      </w:r>
      <w:r w:rsidR="0015217C" w:rsidRPr="00BD0BB8">
        <w:instrText xml:space="preserve"> REF _Ref178873929 \r \h </w:instrText>
      </w:r>
      <w:r w:rsidR="005841B5" w:rsidRPr="00BD0BB8">
        <w:instrText xml:space="preserve"> \* MERGEFORMAT </w:instrText>
      </w:r>
      <w:r w:rsidR="0015217C" w:rsidRPr="00BD0BB8">
        <w:fldChar w:fldCharType="separate"/>
      </w:r>
      <w:r w:rsidR="00633773">
        <w:t>16.5</w:t>
      </w:r>
      <w:r w:rsidR="0015217C" w:rsidRPr="00BD0BB8">
        <w:fldChar w:fldCharType="end"/>
      </w:r>
      <w:r w:rsidRPr="00BD0BB8">
        <w:t>.</w:t>
      </w:r>
    </w:p>
    <w:p w14:paraId="19C12729" w14:textId="08D397F2" w:rsidR="00A11031" w:rsidRPr="00BD0BB8" w:rsidRDefault="00BF3AAB" w:rsidP="006A005A">
      <w:pPr>
        <w:pStyle w:val="DA2SecondLevel"/>
        <w:keepNext w:val="0"/>
        <w:widowControl w:val="0"/>
        <w:jc w:val="both"/>
      </w:pPr>
      <w:r w:rsidRPr="00BD0BB8">
        <w:t xml:space="preserve">The Board </w:t>
      </w:r>
      <w:r w:rsidR="00844DF7" w:rsidRPr="00BD0BB8">
        <w:t xml:space="preserve">may </w:t>
      </w:r>
      <w:r w:rsidRPr="00BD0BB8">
        <w:t>convene a Shareholders Meeting</w:t>
      </w:r>
      <w:r w:rsidR="00844DF7" w:rsidRPr="00BD0BB8">
        <w:t xml:space="preserve"> at any time</w:t>
      </w:r>
      <w:r w:rsidR="0015217C" w:rsidRPr="00BD0BB8">
        <w:t>.</w:t>
      </w:r>
      <w:r w:rsidR="00684A76" w:rsidRPr="00BD0BB8">
        <w:t xml:space="preserve"> </w:t>
      </w:r>
    </w:p>
    <w:p w14:paraId="220803BF" w14:textId="77777777" w:rsidR="00462C16" w:rsidRPr="00BD0BB8" w:rsidRDefault="00BF3AAB" w:rsidP="006A005A">
      <w:pPr>
        <w:pStyle w:val="Heading2"/>
        <w:keepNext w:val="0"/>
        <w:widowControl w:val="0"/>
        <w:ind w:left="1134" w:hanging="708"/>
        <w:jc w:val="both"/>
        <w:rPr>
          <w:szCs w:val="22"/>
        </w:rPr>
      </w:pPr>
      <w:r w:rsidRPr="00BD0BB8">
        <w:rPr>
          <w:szCs w:val="22"/>
        </w:rPr>
        <w:t xml:space="preserve">A Shareholders Meeting </w:t>
      </w:r>
      <w:r w:rsidRPr="00BD0BB8">
        <w:rPr>
          <w:rStyle w:val="DA2SecondLevelChar"/>
        </w:rPr>
        <w:t>must be convened</w:t>
      </w:r>
      <w:bookmarkEnd w:id="113"/>
      <w:r w:rsidRPr="00BD0BB8">
        <w:rPr>
          <w:rStyle w:val="DA2SecondLevelChar"/>
        </w:rPr>
        <w:t xml:space="preserve"> if one or more Written and signed demands for such a Shareh</w:t>
      </w:r>
      <w:r w:rsidRPr="00BD0BB8">
        <w:rPr>
          <w:szCs w:val="22"/>
        </w:rPr>
        <w:t>olders Meeting is/are delivered to the Company, and</w:t>
      </w:r>
      <w:r w:rsidR="00D22DD7" w:rsidRPr="00BD0BB8">
        <w:rPr>
          <w:szCs w:val="22"/>
        </w:rPr>
        <w:t>:</w:t>
      </w:r>
    </w:p>
    <w:p w14:paraId="2884848A" w14:textId="77777777" w:rsidR="00462C16" w:rsidRPr="00BD0BB8" w:rsidRDefault="00BF3AAB" w:rsidP="006A005A">
      <w:pPr>
        <w:pStyle w:val="Heading3"/>
        <w:keepNext w:val="0"/>
        <w:keepLines w:val="0"/>
        <w:widowControl w:val="0"/>
        <w:rPr>
          <w:lang w:val="en-US"/>
        </w:rPr>
      </w:pPr>
      <w:r w:rsidRPr="00BD0BB8">
        <w:t xml:space="preserve">each such </w:t>
      </w:r>
      <w:r w:rsidRPr="00BD0BB8">
        <w:rPr>
          <w:lang w:val="en-US"/>
        </w:rPr>
        <w:t>demand describes the specific purpose for which the Shareholders Meeting is proposed; and</w:t>
      </w:r>
    </w:p>
    <w:p w14:paraId="7EDD66EA" w14:textId="529477CB" w:rsidR="00462C16" w:rsidRPr="00BD0BB8" w:rsidRDefault="00BF3AAB" w:rsidP="006A005A">
      <w:pPr>
        <w:pStyle w:val="Heading3"/>
        <w:keepNext w:val="0"/>
        <w:keepLines w:val="0"/>
        <w:widowControl w:val="0"/>
      </w:pPr>
      <w:bookmarkStart w:id="120" w:name="_Ref179342502"/>
      <w:r w:rsidRPr="00BD0BB8">
        <w:rPr>
          <w:lang w:val="en-US"/>
        </w:rPr>
        <w:t>in aggregate, demands for substantially the same purpose are made and signed by the</w:t>
      </w:r>
      <w:r w:rsidRPr="00BD0BB8">
        <w:t xml:space="preserve"> Holders at the earliest time specified in any of those demands, of at least </w:t>
      </w:r>
      <w:r w:rsidR="000E5CED" w:rsidRPr="00BD0BB8">
        <w:t>10</w:t>
      </w:r>
      <w:r w:rsidRPr="00BD0BB8">
        <w:t>% (ten percent)</w:t>
      </w:r>
      <w:r w:rsidR="00A11031" w:rsidRPr="00BD0BB8">
        <w:t xml:space="preserve"> </w:t>
      </w:r>
      <w:r w:rsidRPr="00BD0BB8">
        <w:t>of the Voting Rights entitled to be exercised in relation to the matter proposed to be considered at the Shareholders Meeting.</w:t>
      </w:r>
      <w:bookmarkEnd w:id="120"/>
    </w:p>
    <w:p w14:paraId="0EC21579" w14:textId="77777777" w:rsidR="00C63D28" w:rsidRPr="00BD0BB8" w:rsidRDefault="00BF3AAB" w:rsidP="006A005A">
      <w:pPr>
        <w:pStyle w:val="DA01"/>
      </w:pPr>
      <w:r w:rsidRPr="00BD0BB8">
        <w:t>Location of Shareholders Meeting</w:t>
      </w:r>
    </w:p>
    <w:p w14:paraId="46BE7D2D" w14:textId="722BD0D4" w:rsidR="00C743D2" w:rsidRPr="00BD0BB8" w:rsidRDefault="00BF3AAB" w:rsidP="006A005A">
      <w:pPr>
        <w:pStyle w:val="DA2SecondLevel"/>
        <w:keepNext w:val="0"/>
        <w:widowControl w:val="0"/>
        <w:jc w:val="both"/>
      </w:pPr>
      <w:bookmarkStart w:id="121" w:name="_Ref255723407"/>
      <w:bookmarkEnd w:id="114"/>
      <w:r w:rsidRPr="00BD0BB8">
        <w:t>Every Shareholders Meeting shall be held where the Board determines from time to time</w:t>
      </w:r>
      <w:bookmarkEnd w:id="121"/>
      <w:r w:rsidRPr="00BD0BB8">
        <w:t>.</w:t>
      </w:r>
      <w:r w:rsidR="00C15439" w:rsidRPr="00BD0BB8">
        <w:rPr>
          <w:rStyle w:val="FootnoteReference"/>
          <w:color w:val="auto"/>
        </w:rPr>
        <w:footnoteReference w:id="40"/>
      </w:r>
    </w:p>
    <w:p w14:paraId="14D5065C" w14:textId="5A5AC384" w:rsidR="00462C16" w:rsidRPr="00BD0BB8" w:rsidRDefault="00BF3AAB" w:rsidP="006A005A">
      <w:pPr>
        <w:pStyle w:val="DA2SecondLevel"/>
        <w:keepNext w:val="0"/>
        <w:widowControl w:val="0"/>
        <w:jc w:val="both"/>
      </w:pPr>
      <w:bookmarkStart w:id="122" w:name="_Ref179006664"/>
      <w:r w:rsidRPr="00BD0BB8">
        <w:t>The</w:t>
      </w:r>
      <w:r w:rsidR="00C743D2" w:rsidRPr="00BD0BB8">
        <w:t>re shall be no limit or restriction on the</w:t>
      </w:r>
      <w:r w:rsidRPr="00BD0BB8">
        <w:t xml:space="preserve"> authority of the Company to conduct a Shareholders Meeting entirely by Electronic Communication, or to provide for </w:t>
      </w:r>
      <w:r w:rsidRPr="00BD0BB8">
        <w:lastRenderedPageBreak/>
        <w:t>participation in a Shareholders Meeting by Electronic Communication</w:t>
      </w:r>
      <w:r w:rsidR="0015217C" w:rsidRPr="00BD0BB8">
        <w:t>,</w:t>
      </w:r>
      <w:r w:rsidRPr="00BD0BB8">
        <w:t xml:space="preserve"> </w:t>
      </w:r>
      <w:r w:rsidR="00C743D2" w:rsidRPr="00BD0BB8">
        <w:t>provided that</w:t>
      </w:r>
      <w:r w:rsidRPr="00BD0BB8">
        <w:t xml:space="preserve"> the Electronic Communication employed ordinarily enables all Persons participating in that Shareholders Meeting to communicate concurrently with each other without an intermediary, and to participate reasonably effectively in the Shareholders Meeting</w:t>
      </w:r>
      <w:r w:rsidR="00C743D2" w:rsidRPr="00BD0BB8">
        <w:t>.</w:t>
      </w:r>
      <w:bookmarkEnd w:id="122"/>
      <w:r w:rsidR="00C15439" w:rsidRPr="00BD0BB8">
        <w:rPr>
          <w:rStyle w:val="FootnoteReference"/>
          <w:color w:val="auto"/>
        </w:rPr>
        <w:footnoteReference w:id="41"/>
      </w:r>
    </w:p>
    <w:p w14:paraId="4B61B72F" w14:textId="77777777" w:rsidR="00365DCC" w:rsidRPr="00BD0BB8" w:rsidRDefault="00BF3AAB" w:rsidP="006A005A">
      <w:pPr>
        <w:pStyle w:val="DA01"/>
      </w:pPr>
      <w:r w:rsidRPr="00BD0BB8">
        <w:t>Notice requirements</w:t>
      </w:r>
    </w:p>
    <w:p w14:paraId="7EBD7603" w14:textId="24C49318" w:rsidR="00462C16" w:rsidRPr="00BD0BB8" w:rsidRDefault="00BF3AAB" w:rsidP="006A005A">
      <w:pPr>
        <w:pStyle w:val="DA2SecondLevel"/>
        <w:keepNext w:val="0"/>
        <w:widowControl w:val="0"/>
        <w:jc w:val="both"/>
      </w:pPr>
      <w:bookmarkStart w:id="123" w:name="_Ref278147268"/>
      <w:bookmarkStart w:id="124" w:name="_Ref447028856"/>
      <w:bookmarkStart w:id="125" w:name="_Ref255723453"/>
      <w:r w:rsidRPr="00BD0BB8">
        <w:t xml:space="preserve">A Shareholders Meeting shall be called by at least </w:t>
      </w:r>
      <w:r w:rsidR="008D52E9" w:rsidRPr="00BD0BB8">
        <w:t>10</w:t>
      </w:r>
      <w:r w:rsidRPr="00BD0BB8">
        <w:t> (</w:t>
      </w:r>
      <w:r w:rsidR="008D52E9" w:rsidRPr="00BD0BB8">
        <w:t>ten</w:t>
      </w:r>
      <w:r w:rsidRPr="00BD0BB8">
        <w:t>) Business Days'</w:t>
      </w:r>
      <w:r w:rsidR="001B5B99" w:rsidRPr="00BD0BB8">
        <w:rPr>
          <w:rStyle w:val="FootnoteReference"/>
          <w:color w:val="auto"/>
        </w:rPr>
        <w:footnoteReference w:id="42"/>
      </w:r>
      <w:r w:rsidRPr="00BD0BB8">
        <w:t xml:space="preserve"> notice Delivered by the Company to all Holders entitled to vote or otherwise entitled to receive notice.</w:t>
      </w:r>
      <w:bookmarkEnd w:id="123"/>
      <w:bookmarkEnd w:id="124"/>
      <w:r w:rsidR="001B5B99" w:rsidRPr="00BD0BB8">
        <w:rPr>
          <w:rStyle w:val="FootnoteReference"/>
          <w:color w:val="auto"/>
        </w:rPr>
        <w:footnoteReference w:id="43"/>
      </w:r>
    </w:p>
    <w:p w14:paraId="45655F87" w14:textId="244BCC39" w:rsidR="00462C16" w:rsidRPr="00BD0BB8" w:rsidRDefault="00BF3AAB" w:rsidP="006A005A">
      <w:pPr>
        <w:pStyle w:val="DA2SecondLevel"/>
        <w:keepNext w:val="0"/>
        <w:widowControl w:val="0"/>
        <w:jc w:val="both"/>
      </w:pPr>
      <w:r w:rsidRPr="00BD0BB8">
        <w:t>A Holder entitled to vote</w:t>
      </w:r>
      <w:r w:rsidR="004A4478" w:rsidRPr="00BD0BB8">
        <w:t xml:space="preserve"> and</w:t>
      </w:r>
      <w:r w:rsidRPr="00BD0BB8">
        <w:t xml:space="preserve"> who is Present at a Shareholders Meeting</w:t>
      </w:r>
      <w:r w:rsidR="00D22DD7" w:rsidRPr="00BD0BB8">
        <w:t>:</w:t>
      </w:r>
    </w:p>
    <w:p w14:paraId="5D0EA36B" w14:textId="77777777" w:rsidR="00462C16" w:rsidRPr="00BD0BB8" w:rsidRDefault="00BF3AAB" w:rsidP="006A005A">
      <w:pPr>
        <w:pStyle w:val="Heading3"/>
        <w:keepNext w:val="0"/>
        <w:keepLines w:val="0"/>
        <w:widowControl w:val="0"/>
      </w:pPr>
      <w:r w:rsidRPr="00BD0BB8">
        <w:t>is regarded as having received notice of the Shareholders Meeting if at least the required minimum notice was given;</w:t>
      </w:r>
    </w:p>
    <w:p w14:paraId="15A036DC" w14:textId="77777777" w:rsidR="00462C16" w:rsidRPr="00BD0BB8" w:rsidRDefault="00BF3AAB" w:rsidP="006A005A">
      <w:pPr>
        <w:pStyle w:val="Heading3"/>
        <w:keepNext w:val="0"/>
        <w:keepLines w:val="0"/>
        <w:widowControl w:val="0"/>
      </w:pPr>
      <w:bookmarkStart w:id="126" w:name="_Ref278148849"/>
      <w:bookmarkStart w:id="127" w:name="_Ref447029244"/>
      <w:r w:rsidRPr="00BD0BB8">
        <w:t>has a right to</w:t>
      </w:r>
      <w:bookmarkEnd w:id="126"/>
      <w:r w:rsidR="00D22DD7" w:rsidRPr="00BD0BB8">
        <w:t>:</w:t>
      </w:r>
      <w:bookmarkEnd w:id="127"/>
    </w:p>
    <w:p w14:paraId="3E655A7B" w14:textId="77777777" w:rsidR="00462C16" w:rsidRPr="00BD0BB8" w:rsidRDefault="00BF3AAB" w:rsidP="006A005A">
      <w:pPr>
        <w:pStyle w:val="DA4ThirdLevelNumbering"/>
        <w:rPr>
          <w:rFonts w:cs="Arial"/>
          <w:szCs w:val="22"/>
        </w:rPr>
      </w:pPr>
      <w:r w:rsidRPr="00BD0BB8">
        <w:rPr>
          <w:rFonts w:cs="Arial"/>
          <w:szCs w:val="22"/>
        </w:rPr>
        <w:t>allege a Material defect in the form of notice for a particular item on the agenda for the Shareholders Meeting; and</w:t>
      </w:r>
    </w:p>
    <w:p w14:paraId="514D023D" w14:textId="77777777" w:rsidR="009E30DA" w:rsidRPr="00BD0BB8" w:rsidRDefault="00BF3AAB" w:rsidP="006A005A">
      <w:pPr>
        <w:pStyle w:val="DA4ThirdLevelNumbering"/>
        <w:rPr>
          <w:rFonts w:cs="Arial"/>
          <w:szCs w:val="22"/>
        </w:rPr>
      </w:pPr>
      <w:r w:rsidRPr="00BD0BB8">
        <w:rPr>
          <w:rFonts w:cs="Arial"/>
          <w:szCs w:val="22"/>
        </w:rPr>
        <w:t>participate in the determination whether to waive the requirements for notice if less than the required minimum notice was given, or to ratify a defective</w:t>
      </w:r>
      <w:r w:rsidR="001315EF" w:rsidRPr="00BD0BB8">
        <w:rPr>
          <w:rFonts w:cs="Arial"/>
          <w:szCs w:val="22"/>
        </w:rPr>
        <w:t xml:space="preserve"> </w:t>
      </w:r>
      <w:r w:rsidR="00004400" w:rsidRPr="00BD0BB8">
        <w:rPr>
          <w:rFonts w:cs="Arial"/>
          <w:szCs w:val="22"/>
        </w:rPr>
        <w:t>notice;</w:t>
      </w:r>
    </w:p>
    <w:p w14:paraId="125BCB09" w14:textId="4E6CDFF3" w:rsidR="00862E52" w:rsidRPr="00BD0BB8" w:rsidRDefault="00BF3AAB" w:rsidP="006A005A">
      <w:pPr>
        <w:pStyle w:val="Heading3"/>
        <w:keepNext w:val="0"/>
        <w:keepLines w:val="0"/>
        <w:widowControl w:val="0"/>
      </w:pPr>
      <w:r w:rsidRPr="00BD0BB8">
        <w:t>except to the extent set out in clause </w:t>
      </w:r>
      <w:r w:rsidR="00365DCC" w:rsidRPr="00BD0BB8">
        <w:fldChar w:fldCharType="begin"/>
      </w:r>
      <w:r w:rsidR="00365DCC" w:rsidRPr="00BD0BB8">
        <w:instrText xml:space="preserve"> REF _Ref447029244 \r \h </w:instrText>
      </w:r>
      <w:r w:rsidR="00AD5D04" w:rsidRPr="00BD0BB8">
        <w:instrText xml:space="preserve"> \* MERGEFORMAT </w:instrText>
      </w:r>
      <w:r w:rsidR="00365DCC" w:rsidRPr="00BD0BB8">
        <w:fldChar w:fldCharType="separate"/>
      </w:r>
      <w:r w:rsidR="00633773">
        <w:t>16.12.2</w:t>
      </w:r>
      <w:r w:rsidR="00365DCC" w:rsidRPr="00BD0BB8">
        <w:fldChar w:fldCharType="end"/>
      </w:r>
      <w:r w:rsidRPr="00BD0BB8">
        <w:t xml:space="preserve"> is regarded to have waived any right based on an actual or alleged Material defect in the notice of the Shareholders Meeting.</w:t>
      </w:r>
      <w:r w:rsidR="001B5B99" w:rsidRPr="00BD0BB8">
        <w:rPr>
          <w:rStyle w:val="FootnoteReference"/>
        </w:rPr>
        <w:footnoteReference w:id="44"/>
      </w:r>
    </w:p>
    <w:p w14:paraId="6688C8D2" w14:textId="44BC509D" w:rsidR="00462C16" w:rsidRPr="00BD0BB8" w:rsidRDefault="00BF3AAB" w:rsidP="006A005A">
      <w:pPr>
        <w:pStyle w:val="DA2SecondLevel"/>
        <w:keepNext w:val="0"/>
        <w:widowControl w:val="0"/>
        <w:jc w:val="both"/>
      </w:pPr>
      <w:r w:rsidRPr="00BD0BB8">
        <w:t>A notice of a S</w:t>
      </w:r>
      <w:r w:rsidR="009A4F59" w:rsidRPr="00BD0BB8">
        <w:t>hareholders Meeting must be in W</w:t>
      </w:r>
      <w:r w:rsidRPr="00BD0BB8">
        <w:t>riting, in plain language</w:t>
      </w:r>
      <w:r w:rsidR="00B865F7" w:rsidRPr="00BD0BB8">
        <w:t xml:space="preserve"> </w:t>
      </w:r>
      <w:r w:rsidRPr="00BD0BB8">
        <w:t>and must include</w:t>
      </w:r>
      <w:r w:rsidR="001B5B99" w:rsidRPr="00BD0BB8">
        <w:rPr>
          <w:rStyle w:val="FootnoteReference"/>
          <w:color w:val="auto"/>
        </w:rPr>
        <w:footnoteReference w:id="45"/>
      </w:r>
      <w:r w:rsidR="00D22DD7" w:rsidRPr="00BD0BB8">
        <w:t>:</w:t>
      </w:r>
    </w:p>
    <w:p w14:paraId="288D151B" w14:textId="77777777" w:rsidR="00462C16" w:rsidRPr="00BD0BB8" w:rsidRDefault="00BF3AAB" w:rsidP="006A005A">
      <w:pPr>
        <w:pStyle w:val="Heading3"/>
        <w:keepNext w:val="0"/>
        <w:keepLines w:val="0"/>
        <w:widowControl w:val="0"/>
        <w:rPr>
          <w:b/>
        </w:rPr>
      </w:pPr>
      <w:r w:rsidRPr="00BD0BB8">
        <w:lastRenderedPageBreak/>
        <w:t xml:space="preserve">the date, time and place for the </w:t>
      </w:r>
      <w:r w:rsidR="00A561CA" w:rsidRPr="00BD0BB8">
        <w:t xml:space="preserve">Shareholders </w:t>
      </w:r>
      <w:r w:rsidRPr="00BD0BB8">
        <w:t xml:space="preserve">Meeting, and the Record Date for the </w:t>
      </w:r>
      <w:r w:rsidR="004A2044" w:rsidRPr="00BD0BB8">
        <w:t xml:space="preserve">Shareholders </w:t>
      </w:r>
      <w:r w:rsidRPr="00BD0BB8">
        <w:t>Meeting;</w:t>
      </w:r>
    </w:p>
    <w:p w14:paraId="476F671A" w14:textId="77777777" w:rsidR="00462C16" w:rsidRPr="00BD0BB8" w:rsidRDefault="00BF3AAB" w:rsidP="006A005A">
      <w:pPr>
        <w:pStyle w:val="Heading3"/>
        <w:keepNext w:val="0"/>
        <w:keepLines w:val="0"/>
        <w:widowControl w:val="0"/>
      </w:pPr>
      <w:r w:rsidRPr="00BD0BB8">
        <w:t xml:space="preserve">the general purpose of the </w:t>
      </w:r>
      <w:r w:rsidR="004A2044" w:rsidRPr="00BD0BB8">
        <w:t xml:space="preserve">Shareholders </w:t>
      </w:r>
      <w:r w:rsidRPr="00BD0BB8">
        <w:t>Meeting, and any specific purpose, if applicable;</w:t>
      </w:r>
    </w:p>
    <w:p w14:paraId="17D3366D" w14:textId="77777777" w:rsidR="00462C16" w:rsidRPr="00BD0BB8" w:rsidRDefault="00BF3AAB" w:rsidP="006A005A">
      <w:pPr>
        <w:pStyle w:val="Heading3"/>
        <w:keepNext w:val="0"/>
        <w:keepLines w:val="0"/>
        <w:widowControl w:val="0"/>
      </w:pPr>
      <w:r w:rsidRPr="00BD0BB8">
        <w:t xml:space="preserve">a copy of any proposed resolution of which the Company has received notice, and which is to be considered at the </w:t>
      </w:r>
      <w:r w:rsidR="004A2044" w:rsidRPr="00BD0BB8">
        <w:t xml:space="preserve">Shareholders </w:t>
      </w:r>
      <w:r w:rsidRPr="00BD0BB8">
        <w:t xml:space="preserve">Meeting, and a notice of the percentage of Voting Rights that will be required for </w:t>
      </w:r>
      <w:r w:rsidR="002B609A" w:rsidRPr="00BD0BB8">
        <w:t>each</w:t>
      </w:r>
      <w:r w:rsidRPr="00BD0BB8">
        <w:t xml:space="preserve"> resolution to be adopted;</w:t>
      </w:r>
    </w:p>
    <w:p w14:paraId="1CDBAF3E" w14:textId="0C53B5C4" w:rsidR="00392025" w:rsidRPr="00BD0BB8" w:rsidRDefault="00BF3AAB" w:rsidP="006A005A">
      <w:pPr>
        <w:pStyle w:val="Heading3"/>
        <w:keepNext w:val="0"/>
        <w:keepLines w:val="0"/>
        <w:widowControl w:val="0"/>
      </w:pPr>
      <w:r w:rsidRPr="00BD0BB8">
        <w:t>if the Company provides for participation in the Shareholders Meeting by Electronic Communication, information regarding the availability of participation in the Shareholders Meeting by Electronic Communication, and provide any necessary information to enable Holders entitled to vote or their proxies to access the available medium or means of Electronic Communication and advise that access to the medium or means of Electronic Communication is at the expense of the Holder entitled to vote or proxy, except to the extent that the Company determines otherwise</w:t>
      </w:r>
      <w:r w:rsidR="00DB607C" w:rsidRPr="00BD0BB8">
        <w:t>;</w:t>
      </w:r>
    </w:p>
    <w:p w14:paraId="32DEA77B" w14:textId="77777777" w:rsidR="00462C16" w:rsidRPr="00BD0BB8" w:rsidRDefault="00BF3AAB" w:rsidP="006A005A">
      <w:pPr>
        <w:pStyle w:val="Heading3"/>
        <w:keepNext w:val="0"/>
        <w:keepLines w:val="0"/>
        <w:widowControl w:val="0"/>
      </w:pPr>
      <w:r w:rsidRPr="00BD0BB8">
        <w:t>a reasonably prominent statement that</w:t>
      </w:r>
      <w:r w:rsidR="00D22DD7" w:rsidRPr="00BD0BB8">
        <w:t>:</w:t>
      </w:r>
    </w:p>
    <w:p w14:paraId="22CBD7E0" w14:textId="3EDCDBB8" w:rsidR="00462C16" w:rsidRPr="00BD0BB8" w:rsidRDefault="00BF3AAB" w:rsidP="006A005A">
      <w:pPr>
        <w:pStyle w:val="DA4ThirdLevelNumbering"/>
        <w:rPr>
          <w:rFonts w:cs="Arial"/>
          <w:szCs w:val="22"/>
        </w:rPr>
      </w:pPr>
      <w:bookmarkStart w:id="128" w:name="_Ref255481056"/>
      <w:r w:rsidRPr="00BD0BB8">
        <w:rPr>
          <w:rFonts w:cs="Arial"/>
          <w:szCs w:val="22"/>
        </w:rPr>
        <w:t xml:space="preserve">a </w:t>
      </w:r>
      <w:r w:rsidR="003B6B59" w:rsidRPr="00BD0BB8">
        <w:rPr>
          <w:rFonts w:cs="Arial"/>
          <w:szCs w:val="22"/>
        </w:rPr>
        <w:t>H</w:t>
      </w:r>
      <w:r w:rsidRPr="00BD0BB8">
        <w:rPr>
          <w:rFonts w:cs="Arial"/>
          <w:szCs w:val="22"/>
        </w:rPr>
        <w:t>older entitled to attend and vote at the Shareholders Meeting shall be entitled to appoint a proxy to attend, participate in, speak and vote at the Shareholders Meeting in the place of the Holder entitled to vote;</w:t>
      </w:r>
    </w:p>
    <w:p w14:paraId="01257D14" w14:textId="446E8E59" w:rsidR="00462C16" w:rsidRPr="00BD0BB8" w:rsidRDefault="00BF3AAB" w:rsidP="006A005A">
      <w:pPr>
        <w:pStyle w:val="DA4ThirdLevelNumbering"/>
        <w:rPr>
          <w:rFonts w:cs="Arial"/>
          <w:szCs w:val="22"/>
        </w:rPr>
      </w:pPr>
      <w:r w:rsidRPr="00BD0BB8">
        <w:rPr>
          <w:rFonts w:cs="Arial"/>
          <w:szCs w:val="22"/>
        </w:rPr>
        <w:t>a proxy need not be a Holder;</w:t>
      </w:r>
      <w:r w:rsidR="0038556A" w:rsidRPr="00BD0BB8">
        <w:rPr>
          <w:rFonts w:cs="Arial"/>
          <w:szCs w:val="22"/>
        </w:rPr>
        <w:t xml:space="preserve"> and</w:t>
      </w:r>
    </w:p>
    <w:p w14:paraId="163C0D6F" w14:textId="77777777" w:rsidR="001B3CD3" w:rsidRPr="00BD0BB8" w:rsidRDefault="00BF3AAB" w:rsidP="006A005A">
      <w:pPr>
        <w:pStyle w:val="DA4ThirdLevelNumbering"/>
        <w:rPr>
          <w:rFonts w:cs="Arial"/>
          <w:szCs w:val="22"/>
        </w:rPr>
      </w:pPr>
      <w:r w:rsidRPr="00BD0BB8">
        <w:rPr>
          <w:rFonts w:cs="Arial"/>
          <w:szCs w:val="22"/>
        </w:rPr>
        <w:t xml:space="preserve">participants in a Shareholders Meeting are required to furnish satisfactory identification in terms of section 63(1) of the </w:t>
      </w:r>
      <w:r w:rsidR="0050570C" w:rsidRPr="00BD0BB8">
        <w:rPr>
          <w:rFonts w:cs="Arial"/>
          <w:szCs w:val="22"/>
        </w:rPr>
        <w:t>Act</w:t>
      </w:r>
      <w:r w:rsidRPr="00BD0BB8">
        <w:rPr>
          <w:rFonts w:cs="Arial"/>
          <w:szCs w:val="22"/>
        </w:rPr>
        <w:t xml:space="preserve"> in order to reasonably satisfy the Person presidi</w:t>
      </w:r>
      <w:r w:rsidR="00CF0D55" w:rsidRPr="00BD0BB8">
        <w:rPr>
          <w:rFonts w:cs="Arial"/>
          <w:szCs w:val="22"/>
        </w:rPr>
        <w:t>ng at the Shareholders Meeting.</w:t>
      </w:r>
    </w:p>
    <w:p w14:paraId="18DC1267" w14:textId="77777777" w:rsidR="00B94A45" w:rsidRPr="00BD0BB8" w:rsidRDefault="00BF3AAB" w:rsidP="006A005A">
      <w:pPr>
        <w:pStyle w:val="DA01"/>
        <w:keepNext/>
      </w:pPr>
      <w:r w:rsidRPr="00BD0BB8">
        <w:t>Proxies</w:t>
      </w:r>
    </w:p>
    <w:p w14:paraId="4DBAA570" w14:textId="21E75CD5" w:rsidR="00462C16" w:rsidRPr="00BD0BB8" w:rsidRDefault="00BF3AAB" w:rsidP="006A005A">
      <w:pPr>
        <w:pStyle w:val="DA2SecondLevel"/>
        <w:widowControl w:val="0"/>
        <w:jc w:val="both"/>
      </w:pPr>
      <w:r w:rsidRPr="00BD0BB8">
        <w:t xml:space="preserve">A </w:t>
      </w:r>
      <w:r w:rsidRPr="00BD0BB8">
        <w:rPr>
          <w:color w:val="auto"/>
        </w:rPr>
        <w:t>Holder</w:t>
      </w:r>
      <w:r w:rsidRPr="00BD0BB8">
        <w:t xml:space="preserve"> entitled to vote may appoint</w:t>
      </w:r>
      <w:r w:rsidR="00272ED6" w:rsidRPr="00BD0BB8">
        <w:t xml:space="preserve"> </w:t>
      </w:r>
      <w:r w:rsidR="00533BB2" w:rsidRPr="00BD0BB8">
        <w:t>only</w:t>
      </w:r>
      <w:r w:rsidRPr="00BD0BB8">
        <w:t xml:space="preserve"> 1 (one) proxy</w:t>
      </w:r>
      <w:r w:rsidR="001B5B99" w:rsidRPr="00BD0BB8">
        <w:rPr>
          <w:rStyle w:val="FootnoteReference"/>
          <w:color w:val="auto"/>
        </w:rPr>
        <w:footnoteReference w:id="46"/>
      </w:r>
      <w:r w:rsidRPr="00BD0BB8">
        <w:t xml:space="preserve"> to exercise </w:t>
      </w:r>
      <w:r w:rsidR="004A2044" w:rsidRPr="00BD0BB8">
        <w:t xml:space="preserve">Voting Rights </w:t>
      </w:r>
      <w:r w:rsidRPr="00BD0BB8">
        <w:lastRenderedPageBreak/>
        <w:t xml:space="preserve">attached to </w:t>
      </w:r>
      <w:r w:rsidR="00533BB2" w:rsidRPr="00BD0BB8">
        <w:t xml:space="preserve">any </w:t>
      </w:r>
      <w:r w:rsidRPr="00BD0BB8">
        <w:t>Securities held by the Holder</w:t>
      </w:r>
      <w:bookmarkEnd w:id="128"/>
      <w:r w:rsidRPr="00BD0BB8">
        <w:t xml:space="preserve"> w</w:t>
      </w:r>
      <w:r w:rsidR="00CF0D55" w:rsidRPr="00BD0BB8">
        <w:t>hich entitle him</w:t>
      </w:r>
      <w:r w:rsidR="00997412" w:rsidRPr="00BD0BB8">
        <w:t>/her</w:t>
      </w:r>
      <w:r w:rsidR="00CF0D55" w:rsidRPr="00BD0BB8">
        <w:t>/it to vote.</w:t>
      </w:r>
      <w:r w:rsidR="001B5B99" w:rsidRPr="00BD0BB8">
        <w:rPr>
          <w:rStyle w:val="FootnoteReference"/>
          <w:color w:val="auto"/>
        </w:rPr>
        <w:footnoteReference w:id="47"/>
      </w:r>
    </w:p>
    <w:p w14:paraId="0C699BBC" w14:textId="43E115CB" w:rsidR="00462C16" w:rsidRPr="00BD0BB8" w:rsidRDefault="00BF3AAB" w:rsidP="006A005A">
      <w:pPr>
        <w:pStyle w:val="DA2SecondLevel"/>
        <w:keepNext w:val="0"/>
        <w:widowControl w:val="0"/>
        <w:jc w:val="both"/>
      </w:pPr>
      <w:r w:rsidRPr="00BD0BB8">
        <w:t>Any proxy may delegate</w:t>
      </w:r>
      <w:r w:rsidR="00997412" w:rsidRPr="00BD0BB8">
        <w:t xml:space="preserve"> the authority granted to him/her</w:t>
      </w:r>
      <w:r w:rsidRPr="00BD0BB8">
        <w:t xml:space="preserve"> as proxy, subject to any restriction</w:t>
      </w:r>
      <w:r w:rsidR="00387CF1" w:rsidRPr="00BD0BB8">
        <w:t xml:space="preserve"> set out in the form</w:t>
      </w:r>
      <w:r w:rsidRPr="00BD0BB8">
        <w:t xml:space="preserve"> </w:t>
      </w:r>
      <w:r w:rsidR="00387CF1" w:rsidRPr="00BD0BB8">
        <w:t xml:space="preserve">of </w:t>
      </w:r>
      <w:r w:rsidR="00CF0D55" w:rsidRPr="00BD0BB8">
        <w:t>proxy itself.</w:t>
      </w:r>
      <w:r w:rsidR="001B5B99" w:rsidRPr="00BD0BB8">
        <w:rPr>
          <w:color w:val="auto"/>
        </w:rPr>
        <w:t xml:space="preserve"> </w:t>
      </w:r>
      <w:r w:rsidR="001B5B99" w:rsidRPr="00BD0BB8">
        <w:rPr>
          <w:rStyle w:val="FootnoteReference"/>
          <w:color w:val="auto"/>
        </w:rPr>
        <w:footnoteReference w:id="48"/>
      </w:r>
    </w:p>
    <w:p w14:paraId="4A883597" w14:textId="2D0DF25A" w:rsidR="00F30466" w:rsidRPr="00BD0BB8" w:rsidRDefault="00BF3AAB" w:rsidP="006A005A">
      <w:pPr>
        <w:pStyle w:val="DA2SecondLevel"/>
        <w:keepNext w:val="0"/>
        <w:widowControl w:val="0"/>
        <w:jc w:val="both"/>
      </w:pPr>
      <w:bookmarkStart w:id="129" w:name="_Ref452373052"/>
      <w:r w:rsidRPr="00BD0BB8">
        <w:rPr>
          <w:lang w:val="en-US"/>
        </w:rPr>
        <w:t xml:space="preserve">A copy of </w:t>
      </w:r>
      <w:r w:rsidRPr="00BD0BB8">
        <w:t>the</w:t>
      </w:r>
      <w:r w:rsidRPr="00BD0BB8">
        <w:rPr>
          <w:lang w:val="en-US"/>
        </w:rPr>
        <w:t xml:space="preserve"> instrument appointing a proxy must be delivered to the Company, or to any other </w:t>
      </w:r>
      <w:r w:rsidR="00B21F15" w:rsidRPr="00BD0BB8">
        <w:rPr>
          <w:lang w:val="en-US" w:eastAsia="en-ZA"/>
        </w:rPr>
        <w:t>P</w:t>
      </w:r>
      <w:r w:rsidRPr="00BD0BB8">
        <w:rPr>
          <w:lang w:val="en-US" w:eastAsia="en-ZA"/>
        </w:rPr>
        <w:t>erson</w:t>
      </w:r>
      <w:r w:rsidRPr="00BD0BB8">
        <w:rPr>
          <w:lang w:val="en-US"/>
        </w:rPr>
        <w:t xml:space="preserve"> on behalf of the Company, before the proxy exercises any rights of the Shareho</w:t>
      </w:r>
      <w:r w:rsidR="00DB607C" w:rsidRPr="00BD0BB8">
        <w:rPr>
          <w:lang w:val="en-US"/>
        </w:rPr>
        <w:t>lder at a Shareholders Meeting.</w:t>
      </w:r>
      <w:bookmarkEnd w:id="129"/>
      <w:r w:rsidR="001B5B99" w:rsidRPr="00BD0BB8">
        <w:rPr>
          <w:rStyle w:val="FootnoteReference"/>
          <w:color w:val="auto"/>
        </w:rPr>
        <w:footnoteReference w:id="49"/>
      </w:r>
    </w:p>
    <w:p w14:paraId="667CC7D5" w14:textId="2F071C5E" w:rsidR="006A7D48" w:rsidRPr="00BD0BB8" w:rsidRDefault="00BF3AAB" w:rsidP="006A005A">
      <w:pPr>
        <w:pStyle w:val="DA2SecondLevel"/>
        <w:keepNext w:val="0"/>
        <w:widowControl w:val="0"/>
        <w:jc w:val="both"/>
      </w:pPr>
      <w:r w:rsidRPr="00BD0BB8">
        <w:t xml:space="preserve">No form appointing a proxy shall be valid after the expiration of 1 (one) year from the date when it was signed unless the </w:t>
      </w:r>
      <w:r w:rsidR="004A2044" w:rsidRPr="00BD0BB8">
        <w:t xml:space="preserve">form of </w:t>
      </w:r>
      <w:r w:rsidRPr="00BD0BB8">
        <w:t>proxy itself provides for a longer or shorter duration.</w:t>
      </w:r>
      <w:r w:rsidR="001D2620" w:rsidRPr="00BD0BB8">
        <w:rPr>
          <w:rStyle w:val="FootnoteReference"/>
          <w:color w:val="auto"/>
        </w:rPr>
        <w:footnoteReference w:id="50"/>
      </w:r>
      <w:r w:rsidRPr="00BD0BB8">
        <w:t xml:space="preserve"> The appointment is revocable unless the proxy appointment expressly states otherwise, and may </w:t>
      </w:r>
      <w:r w:rsidR="009A4F59" w:rsidRPr="00BD0BB8">
        <w:t>be revoked by cancelling it in W</w:t>
      </w:r>
      <w:r w:rsidRPr="00BD0BB8">
        <w:t>riting, or making a later inconsistent appointment of a proxy, and delivering a copy of the revocation instrument to the proxy and to the Company. The appointment is suspended at any time and to the extent that the Holder entitled to vote chooses to act directly and in person in the exercise of any rights as a Holder entitled to vote.</w:t>
      </w:r>
      <w:r w:rsidR="001B5B99" w:rsidRPr="00BD0BB8">
        <w:rPr>
          <w:rStyle w:val="FootnoteReference"/>
          <w:color w:val="auto"/>
        </w:rPr>
        <w:footnoteReference w:id="51"/>
      </w:r>
    </w:p>
    <w:p w14:paraId="5C0B1862" w14:textId="7F3B9E2E" w:rsidR="006A7D48" w:rsidRPr="00BD0BB8" w:rsidRDefault="00BF3AAB" w:rsidP="006A005A">
      <w:pPr>
        <w:pStyle w:val="DA2SecondLevel"/>
        <w:keepNext w:val="0"/>
        <w:widowControl w:val="0"/>
        <w:jc w:val="both"/>
      </w:pPr>
      <w:r w:rsidRPr="00BD0BB8">
        <w:t xml:space="preserve">Subject to the provisions of the </w:t>
      </w:r>
      <w:r w:rsidR="0050570C" w:rsidRPr="00BD0BB8">
        <w:t>Act</w:t>
      </w:r>
      <w:r w:rsidRPr="00BD0BB8">
        <w:t xml:space="preserve">, a form appointing a proxy may </w:t>
      </w:r>
      <w:r w:rsidR="0001635B" w:rsidRPr="00BD0BB8">
        <w:t>be in any usual or common form.</w:t>
      </w:r>
      <w:r w:rsidRPr="00BD0BB8">
        <w:t xml:space="preserve"> The Company shall supply a generally standard form of proxy upon request by a Holder entitled to vote.</w:t>
      </w:r>
    </w:p>
    <w:p w14:paraId="30B357EC" w14:textId="26A2DDFF" w:rsidR="00ED137A" w:rsidRPr="00BD0BB8" w:rsidRDefault="00BF3AAB" w:rsidP="006A005A">
      <w:pPr>
        <w:pStyle w:val="DA2SecondLevel"/>
        <w:keepNext w:val="0"/>
        <w:widowControl w:val="0"/>
        <w:jc w:val="both"/>
      </w:pPr>
      <w:r w:rsidRPr="00BD0BB8">
        <w:t>If a proxy</w:t>
      </w:r>
      <w:r w:rsidR="00692C31" w:rsidRPr="00BD0BB8">
        <w:t xml:space="preserve"> form</w:t>
      </w:r>
      <w:r w:rsidRPr="00BD0BB8">
        <w:t xml:space="preserve"> is received duly signed but with no indication as to how the Person named </w:t>
      </w:r>
      <w:r w:rsidR="00692C31" w:rsidRPr="00BD0BB8">
        <w:t xml:space="preserve">in that proxy form </w:t>
      </w:r>
      <w:r w:rsidRPr="00BD0BB8">
        <w:t>should vote on any issue, the proxy may vote</w:t>
      </w:r>
      <w:r w:rsidR="003C5F85" w:rsidRPr="00BD0BB8">
        <w:t xml:space="preserve"> or abstain from voting as he</w:t>
      </w:r>
      <w:r w:rsidR="00540101" w:rsidRPr="00BD0BB8">
        <w:t>/she</w:t>
      </w:r>
      <w:r w:rsidRPr="00BD0BB8">
        <w:t xml:space="preserve"> sees fit unless the proxy</w:t>
      </w:r>
      <w:r w:rsidR="003C5F85" w:rsidRPr="00BD0BB8">
        <w:t xml:space="preserve"> form</w:t>
      </w:r>
      <w:r w:rsidRPr="00BD0BB8">
        <w:t xml:space="preserve"> indicates other</w:t>
      </w:r>
      <w:r w:rsidR="003C5F85" w:rsidRPr="00BD0BB8">
        <w:t>wise.</w:t>
      </w:r>
      <w:r w:rsidR="001D2620" w:rsidRPr="00BD0BB8">
        <w:rPr>
          <w:rStyle w:val="FootnoteReference"/>
          <w:color w:val="auto"/>
        </w:rPr>
        <w:footnoteReference w:id="52"/>
      </w:r>
    </w:p>
    <w:p w14:paraId="6B40B6EC" w14:textId="77777777" w:rsidR="00692C31" w:rsidRPr="00BD0BB8" w:rsidRDefault="00BF3AAB" w:rsidP="006A005A">
      <w:pPr>
        <w:pStyle w:val="DA01"/>
      </w:pPr>
      <w:r w:rsidRPr="00BD0BB8">
        <w:t>Defective n</w:t>
      </w:r>
      <w:r w:rsidR="00387CF1" w:rsidRPr="00BD0BB8">
        <w:t>otice</w:t>
      </w:r>
    </w:p>
    <w:p w14:paraId="2CB672CC" w14:textId="2274CCD4" w:rsidR="00462C16" w:rsidRPr="00BD0BB8" w:rsidRDefault="00BF3AAB" w:rsidP="006A005A">
      <w:pPr>
        <w:pStyle w:val="DA2SecondLevel"/>
        <w:keepNext w:val="0"/>
        <w:widowControl w:val="0"/>
        <w:jc w:val="both"/>
      </w:pPr>
      <w:r w:rsidRPr="00BD0BB8">
        <w:t xml:space="preserve">A Shareholders Meeting may proceed notwithstanding a </w:t>
      </w:r>
      <w:r w:rsidR="00452023" w:rsidRPr="00BD0BB8">
        <w:t xml:space="preserve">Material </w:t>
      </w:r>
      <w:r w:rsidRPr="00BD0BB8">
        <w:t>defect in the giving of the notice, subject to clause </w:t>
      </w:r>
      <w:r w:rsidR="003C5F85" w:rsidRPr="00BD0BB8">
        <w:fldChar w:fldCharType="begin"/>
      </w:r>
      <w:r w:rsidR="003C5F85" w:rsidRPr="00BD0BB8">
        <w:instrText xml:space="preserve"> REF _Ref447029950 \r \h </w:instrText>
      </w:r>
      <w:r w:rsidR="00AD5D04" w:rsidRPr="00BD0BB8">
        <w:instrText xml:space="preserve"> \* MERGEFORMAT </w:instrText>
      </w:r>
      <w:r w:rsidR="003C5F85" w:rsidRPr="00BD0BB8">
        <w:fldChar w:fldCharType="separate"/>
      </w:r>
      <w:r w:rsidR="00633773">
        <w:t>16.21</w:t>
      </w:r>
      <w:r w:rsidR="003C5F85" w:rsidRPr="00BD0BB8">
        <w:fldChar w:fldCharType="end"/>
      </w:r>
      <w:r w:rsidRPr="00BD0BB8">
        <w:t xml:space="preserve">, only if every Person who is entitled to exercise </w:t>
      </w:r>
      <w:r w:rsidR="004A2044" w:rsidRPr="00BD0BB8">
        <w:lastRenderedPageBreak/>
        <w:t xml:space="preserve">Voting Rights </w:t>
      </w:r>
      <w:r w:rsidRPr="00BD0BB8">
        <w:t>in respect of each item on the agenda of the Shareholders Meeting</w:t>
      </w:r>
      <w:bookmarkEnd w:id="125"/>
      <w:r w:rsidRPr="00BD0BB8">
        <w:t xml:space="preserve"> is present at the Shareholders Meeting and votes to approve the ratification of the defective notice.</w:t>
      </w:r>
      <w:r w:rsidR="001D2620" w:rsidRPr="00BD0BB8">
        <w:rPr>
          <w:rStyle w:val="FootnoteReference"/>
          <w:color w:val="auto"/>
        </w:rPr>
        <w:footnoteReference w:id="53"/>
      </w:r>
    </w:p>
    <w:p w14:paraId="6E5EC7B6" w14:textId="77777777" w:rsidR="00462C16" w:rsidRPr="00BD0BB8" w:rsidRDefault="00BF3AAB" w:rsidP="006A005A">
      <w:pPr>
        <w:pStyle w:val="DA2SecondLevel"/>
        <w:keepNext w:val="0"/>
        <w:widowControl w:val="0"/>
        <w:jc w:val="both"/>
      </w:pPr>
      <w:bookmarkStart w:id="130" w:name="_Ref256579561"/>
      <w:bookmarkStart w:id="131" w:name="_Ref447029950"/>
      <w:bookmarkStart w:id="132" w:name="_Ref255723486"/>
      <w:r w:rsidRPr="00BD0BB8">
        <w:t xml:space="preserve">If a </w:t>
      </w:r>
      <w:r w:rsidR="00452023" w:rsidRPr="00BD0BB8">
        <w:t xml:space="preserve">Material </w:t>
      </w:r>
      <w:r w:rsidRPr="00BD0BB8">
        <w:t>defect in the form or manner of giving notice of a Shareholders Meeting relates only to one or more particular matters on the agenda for the Shareholders Meeting</w:t>
      </w:r>
      <w:bookmarkEnd w:id="130"/>
      <w:r w:rsidR="00D22DD7" w:rsidRPr="00BD0BB8">
        <w:t>:</w:t>
      </w:r>
      <w:bookmarkEnd w:id="131"/>
    </w:p>
    <w:p w14:paraId="45207585" w14:textId="77777777" w:rsidR="00462C16" w:rsidRPr="00BD0BB8" w:rsidRDefault="00BF3AAB" w:rsidP="006A005A">
      <w:pPr>
        <w:pStyle w:val="Heading3"/>
        <w:keepNext w:val="0"/>
        <w:keepLines w:val="0"/>
        <w:widowControl w:val="0"/>
      </w:pPr>
      <w:r w:rsidRPr="00BD0BB8">
        <w:t>any such matter may be severed from the agenda, and the notice remains valid with respect to any remaining matters on the agenda; and</w:t>
      </w:r>
    </w:p>
    <w:p w14:paraId="09495872" w14:textId="2FD96ECA" w:rsidR="00462C16" w:rsidRPr="00BD0BB8" w:rsidRDefault="00BF3AAB" w:rsidP="006A005A">
      <w:pPr>
        <w:pStyle w:val="Heading3"/>
        <w:keepNext w:val="0"/>
        <w:keepLines w:val="0"/>
        <w:widowControl w:val="0"/>
      </w:pPr>
      <w:r w:rsidRPr="00BD0BB8">
        <w:t>the Shareholders Meeting may proceed to consider a severed matter, if the defective notice in respect of that matter has been ratified.</w:t>
      </w:r>
      <w:r w:rsidR="001D2620" w:rsidRPr="00BD0BB8">
        <w:rPr>
          <w:rStyle w:val="FootnoteReference"/>
        </w:rPr>
        <w:footnoteReference w:id="54"/>
      </w:r>
    </w:p>
    <w:p w14:paraId="5DD2BAD2" w14:textId="437C06C3" w:rsidR="009D27BF" w:rsidRPr="00BD0BB8" w:rsidRDefault="00BF3AAB" w:rsidP="006A005A">
      <w:pPr>
        <w:pStyle w:val="DA2SecondLevel"/>
        <w:keepNext w:val="0"/>
        <w:widowControl w:val="0"/>
        <w:jc w:val="both"/>
      </w:pPr>
      <w:r w:rsidRPr="00BD0BB8">
        <w:t xml:space="preserve">An immaterial defect in the form or manner of Delivering notice of a Shareholders Meeting, or an accidental or inadvertent failure in the Delivery of the notice to any particular Holder to </w:t>
      </w:r>
      <w:r w:rsidR="00DA751B" w:rsidRPr="00BD0BB8">
        <w:t>who</w:t>
      </w:r>
      <w:r w:rsidRPr="00BD0BB8">
        <w:t xml:space="preserve"> it was addressed if the Company elects to do so, does not invalidate any action taken at the Shareholders Meeting.</w:t>
      </w:r>
      <w:r w:rsidR="001D2620" w:rsidRPr="00BD0BB8">
        <w:rPr>
          <w:rStyle w:val="FootnoteReference"/>
          <w:color w:val="auto"/>
        </w:rPr>
        <w:footnoteReference w:id="55"/>
      </w:r>
    </w:p>
    <w:p w14:paraId="7855E6F9" w14:textId="77777777" w:rsidR="00C4444F" w:rsidRPr="00BD0BB8" w:rsidRDefault="00BF3AAB" w:rsidP="006A005A">
      <w:pPr>
        <w:pStyle w:val="DA01"/>
      </w:pPr>
      <w:r w:rsidRPr="00BD0BB8">
        <w:t>Quorum</w:t>
      </w:r>
    </w:p>
    <w:p w14:paraId="128AD2C0" w14:textId="39A96A3C" w:rsidR="0056349B" w:rsidRPr="00BD0BB8" w:rsidRDefault="0056349B" w:rsidP="006A005A">
      <w:pPr>
        <w:pStyle w:val="DA2SecondLevel"/>
        <w:keepNext w:val="0"/>
        <w:widowControl w:val="0"/>
        <w:jc w:val="both"/>
      </w:pPr>
      <w:bookmarkStart w:id="133" w:name="_Ref209357526"/>
      <w:bookmarkStart w:id="134" w:name="_Ref255725862"/>
      <w:bookmarkEnd w:id="132"/>
      <w:r w:rsidRPr="00BD0BB8">
        <w:t xml:space="preserve">Subject to clause </w:t>
      </w:r>
      <w:r w:rsidRPr="00BD0BB8">
        <w:fldChar w:fldCharType="begin"/>
      </w:r>
      <w:r w:rsidRPr="00BD0BB8">
        <w:instrText xml:space="preserve"> REF _Ref80599583 \r \h </w:instrText>
      </w:r>
      <w:r w:rsidR="00AD5D04" w:rsidRPr="00BD0BB8">
        <w:instrText xml:space="preserve"> \* MERGEFORMAT </w:instrText>
      </w:r>
      <w:r w:rsidRPr="00BD0BB8">
        <w:fldChar w:fldCharType="separate"/>
      </w:r>
      <w:r w:rsidR="00633773">
        <w:t>16.4</w:t>
      </w:r>
      <w:r w:rsidRPr="00BD0BB8">
        <w:fldChar w:fldCharType="end"/>
      </w:r>
      <w:r w:rsidRPr="00BD0BB8">
        <w:t>:</w:t>
      </w:r>
      <w:bookmarkEnd w:id="133"/>
    </w:p>
    <w:p w14:paraId="72C3BFA0" w14:textId="081C3658" w:rsidR="00462C16" w:rsidRPr="00BD0BB8" w:rsidRDefault="00BF3AAB" w:rsidP="006A005A">
      <w:pPr>
        <w:pStyle w:val="Heading3"/>
        <w:keepNext w:val="0"/>
        <w:keepLines w:val="0"/>
        <w:widowControl w:val="0"/>
      </w:pPr>
      <w:r w:rsidRPr="00BD0BB8">
        <w:t>Business may be transacted at any Shareholders Meeting only while a quorum is present</w:t>
      </w:r>
      <w:r w:rsidR="0060386C" w:rsidRPr="00BD0BB8">
        <w:t xml:space="preserve">; </w:t>
      </w:r>
      <w:bookmarkEnd w:id="134"/>
    </w:p>
    <w:p w14:paraId="5A9B5FF3" w14:textId="438AF42C" w:rsidR="00C42B1B" w:rsidRPr="00BD0BB8" w:rsidRDefault="00055FDE" w:rsidP="006A005A">
      <w:pPr>
        <w:pStyle w:val="Heading3"/>
        <w:keepNext w:val="0"/>
        <w:keepLines w:val="0"/>
        <w:widowControl w:val="0"/>
      </w:pPr>
      <w:bookmarkStart w:id="135" w:name="_Ref284236667"/>
      <w:r w:rsidRPr="00055FDE">
        <w:t>The quorum for a Shareholders Meeting shall be the presence of Holder(s) representing a majority of the issued Ordinary Shares and</w:t>
      </w:r>
      <w:commentRangeStart w:id="136"/>
      <w:commentRangeStart w:id="137"/>
      <w:r w:rsidRPr="00055FDE">
        <w:t xml:space="preserve"> the presence of Holder(s) representing a majority of the issued </w:t>
      </w:r>
      <w:r w:rsidR="006314B6">
        <w:t>Preference</w:t>
      </w:r>
      <w:r w:rsidRPr="00055FDE">
        <w:t xml:space="preserve"> Shares</w:t>
      </w:r>
      <w:r w:rsidR="0060386C" w:rsidRPr="00BD0BB8">
        <w:t xml:space="preserve">; </w:t>
      </w:r>
      <w:commentRangeEnd w:id="136"/>
      <w:r w:rsidR="0020169E" w:rsidRPr="00BD0BB8">
        <w:rPr>
          <w:rStyle w:val="CommentReference"/>
          <w:sz w:val="22"/>
          <w:szCs w:val="22"/>
        </w:rPr>
        <w:commentReference w:id="136"/>
      </w:r>
      <w:commentRangeEnd w:id="137"/>
      <w:r w:rsidR="005E7A6B" w:rsidRPr="00BD0BB8">
        <w:rPr>
          <w:rStyle w:val="CommentReference"/>
          <w:sz w:val="22"/>
          <w:szCs w:val="22"/>
        </w:rPr>
        <w:commentReference w:id="137"/>
      </w:r>
    </w:p>
    <w:p w14:paraId="15BCCCD0" w14:textId="545923EC" w:rsidR="00462C16" w:rsidRPr="00BD0BB8" w:rsidRDefault="00BF3AAB" w:rsidP="006A005A">
      <w:pPr>
        <w:pStyle w:val="Heading3"/>
        <w:keepNext w:val="0"/>
        <w:keepLines w:val="0"/>
        <w:widowControl w:val="0"/>
      </w:pPr>
      <w:r w:rsidRPr="00BD0BB8">
        <w:t>provided that if the Company </w:t>
      </w:r>
      <w:bookmarkEnd w:id="135"/>
      <w:r w:rsidRPr="00BD0BB8">
        <w:t>has more than 2 (two) Persons entitled to vote, the Shareholders Meeting may not begin unless</w:t>
      </w:r>
      <w:r w:rsidR="009C3948" w:rsidRPr="00BD0BB8">
        <w:t>,</w:t>
      </w:r>
      <w:r w:rsidRPr="00BD0BB8">
        <w:t xml:space="preserve"> at least</w:t>
      </w:r>
      <w:r w:rsidR="00320878" w:rsidRPr="00BD0BB8">
        <w:t>, in addition,</w:t>
      </w:r>
      <w:r w:rsidRPr="00BD0BB8">
        <w:t xml:space="preserve"> 3 (three) Persons entitled to vote are Present</w:t>
      </w:r>
      <w:r w:rsidR="00AD41D2" w:rsidRPr="00BD0BB8">
        <w:t>.</w:t>
      </w:r>
      <w:r w:rsidR="001D2620" w:rsidRPr="00BD0BB8">
        <w:rPr>
          <w:rStyle w:val="FootnoteReference"/>
        </w:rPr>
        <w:footnoteReference w:id="56"/>
      </w:r>
    </w:p>
    <w:p w14:paraId="070A11BF" w14:textId="1967A596" w:rsidR="00462C16" w:rsidRPr="00BD0BB8" w:rsidRDefault="00BF3AAB" w:rsidP="006A005A">
      <w:pPr>
        <w:pStyle w:val="DA2SecondLevel"/>
        <w:keepNext w:val="0"/>
        <w:widowControl w:val="0"/>
        <w:jc w:val="both"/>
      </w:pPr>
      <w:r w:rsidRPr="00BD0BB8">
        <w:t>A matter to be decided at the Shareholders Meeting may not begin to be considered unless those who fulfilled the quorum requirements of clause </w:t>
      </w:r>
      <w:r w:rsidR="00BA2908">
        <w:fldChar w:fldCharType="begin"/>
      </w:r>
      <w:r w:rsidR="00BA2908">
        <w:instrText xml:space="preserve"> REF _Ref209357526 \r \h </w:instrText>
      </w:r>
      <w:r w:rsidR="006A005A">
        <w:instrText xml:space="preserve"> \* MERGEFORMAT </w:instrText>
      </w:r>
      <w:r w:rsidR="00BA2908">
        <w:fldChar w:fldCharType="separate"/>
      </w:r>
      <w:r w:rsidR="00633773">
        <w:t>16.23</w:t>
      </w:r>
      <w:r w:rsidR="00BA2908">
        <w:fldChar w:fldCharType="end"/>
      </w:r>
      <w:r w:rsidRPr="00BD0BB8">
        <w:t xml:space="preserve">, continue to be </w:t>
      </w:r>
      <w:r w:rsidRPr="00BD0BB8">
        <w:lastRenderedPageBreak/>
        <w:t>Present.</w:t>
      </w:r>
      <w:r w:rsidR="001D2620" w:rsidRPr="00BD0BB8">
        <w:rPr>
          <w:rStyle w:val="FootnoteReference"/>
          <w:color w:val="auto"/>
        </w:rPr>
        <w:footnoteReference w:id="57"/>
      </w:r>
    </w:p>
    <w:p w14:paraId="2857791F" w14:textId="4F638B8D" w:rsidR="006A33DB" w:rsidRPr="00BD0BB8" w:rsidRDefault="00BF3AAB" w:rsidP="006A005A">
      <w:pPr>
        <w:pStyle w:val="DA2SecondLevel"/>
        <w:keepNext w:val="0"/>
        <w:widowControl w:val="0"/>
        <w:jc w:val="both"/>
      </w:pPr>
      <w:r w:rsidRPr="00BD0BB8">
        <w:t>After a quorum has been established for a Shareholders Meeting, or for a matter to be considered at a Shareholders Meeting, the Shareholders Meeting may continue, or the matter may be considered, so long as at least 1 (one) Person with Voting Rights entitled to be exercised at the Shareholders Meeting, or on that matter, is Prese</w:t>
      </w:r>
      <w:r w:rsidR="00DB607C" w:rsidRPr="00BD0BB8">
        <w:t>nt at the Shareholders Meeting.</w:t>
      </w:r>
      <w:r w:rsidR="001D2620" w:rsidRPr="00BD0BB8">
        <w:rPr>
          <w:rStyle w:val="FootnoteReference"/>
          <w:color w:val="auto"/>
        </w:rPr>
        <w:footnoteReference w:id="58"/>
      </w:r>
    </w:p>
    <w:p w14:paraId="3ECE5E99" w14:textId="77777777" w:rsidR="00EE7EFA" w:rsidRPr="00BD0BB8" w:rsidRDefault="00BF3AAB" w:rsidP="006A005A">
      <w:pPr>
        <w:pStyle w:val="DA01"/>
      </w:pPr>
      <w:r w:rsidRPr="00BD0BB8">
        <w:t>Adjournment</w:t>
      </w:r>
    </w:p>
    <w:p w14:paraId="0E0FE03D" w14:textId="494481F8" w:rsidR="00462C16" w:rsidRPr="00BD0BB8" w:rsidRDefault="00BF3AAB" w:rsidP="006A005A">
      <w:pPr>
        <w:pStyle w:val="DA2SecondLevel"/>
        <w:keepNext w:val="0"/>
        <w:widowControl w:val="0"/>
        <w:jc w:val="both"/>
      </w:pPr>
      <w:bookmarkStart w:id="138" w:name="_Ref255723598"/>
      <w:bookmarkStart w:id="139" w:name="_Ref461107206"/>
      <w:bookmarkStart w:id="140" w:name="_Ref452373851"/>
      <w:r w:rsidRPr="00BD0BB8">
        <w:t xml:space="preserve">If within </w:t>
      </w:r>
      <w:r w:rsidR="00E5359B" w:rsidRPr="00BD0BB8">
        <w:t>1 (one) hour</w:t>
      </w:r>
      <w:r w:rsidR="001D2620" w:rsidRPr="00BD0BB8">
        <w:rPr>
          <w:color w:val="auto"/>
        </w:rPr>
        <w:t xml:space="preserve"> </w:t>
      </w:r>
      <w:r w:rsidR="001D2620" w:rsidRPr="00BD0BB8">
        <w:rPr>
          <w:rStyle w:val="FootnoteReference"/>
          <w:color w:val="auto"/>
        </w:rPr>
        <w:footnoteReference w:id="59"/>
      </w:r>
      <w:r w:rsidR="00E5359B" w:rsidRPr="00BD0BB8">
        <w:t> </w:t>
      </w:r>
      <w:r w:rsidRPr="00BD0BB8">
        <w:t>from the time appointed for the Shareholders Meeting to commence, a quorum is not present, the Shareholders Meeting shall be postponed, without motion, vote or further notice, subject to clause </w:t>
      </w:r>
      <w:r w:rsidR="00F96529" w:rsidRPr="00BD0BB8">
        <w:fldChar w:fldCharType="begin"/>
      </w:r>
      <w:r w:rsidR="00F96529" w:rsidRPr="00BD0BB8">
        <w:instrText xml:space="preserve"> REF _Ref179360575 \r \h </w:instrText>
      </w:r>
      <w:r w:rsidR="00AD5D04" w:rsidRPr="00BD0BB8">
        <w:instrText xml:space="preserve"> \* MERGEFORMAT </w:instrText>
      </w:r>
      <w:r w:rsidR="00F96529" w:rsidRPr="00BD0BB8">
        <w:fldChar w:fldCharType="separate"/>
      </w:r>
      <w:r w:rsidR="00633773">
        <w:t>16.27</w:t>
      </w:r>
      <w:r w:rsidR="00F96529" w:rsidRPr="00BD0BB8">
        <w:fldChar w:fldCharType="end"/>
      </w:r>
      <w:r w:rsidRPr="00BD0BB8">
        <w:t>, for 1 (one) week</w:t>
      </w:r>
      <w:r w:rsidR="00E5359B" w:rsidRPr="00BD0BB8">
        <w:t xml:space="preserve"> </w:t>
      </w:r>
      <w:r w:rsidR="001D2620" w:rsidRPr="00BD0BB8">
        <w:rPr>
          <w:rStyle w:val="FootnoteReference"/>
          <w:color w:val="auto"/>
        </w:rPr>
        <w:footnoteReference w:id="60"/>
      </w:r>
      <w:r w:rsidR="00197DA9" w:rsidRPr="00BD0BB8">
        <w:rPr>
          <w:color w:val="auto"/>
        </w:rPr>
        <w:t xml:space="preserve"> </w:t>
      </w:r>
      <w:r w:rsidRPr="00BD0BB8">
        <w:t xml:space="preserve">to the same day in the next week or, if that day </w:t>
      </w:r>
      <w:r w:rsidR="00F96529" w:rsidRPr="00BD0BB8">
        <w:t>is not a Business Day</w:t>
      </w:r>
      <w:r w:rsidRPr="00BD0BB8">
        <w:t xml:space="preserve">, to the next succeeding </w:t>
      </w:r>
      <w:r w:rsidR="00F96529" w:rsidRPr="00BD0BB8">
        <w:t>Business D</w:t>
      </w:r>
      <w:r w:rsidRPr="00BD0BB8">
        <w:t xml:space="preserve">ay, and if at such adjourned Shareholders Meeting a quorum is not present within </w:t>
      </w:r>
      <w:r w:rsidR="00E5359B" w:rsidRPr="00BD0BB8">
        <w:t>1 (one) hour</w:t>
      </w:r>
      <w:r w:rsidR="00D80EA7" w:rsidRPr="00BD0BB8">
        <w:t xml:space="preserve"> </w:t>
      </w:r>
      <w:r w:rsidRPr="00BD0BB8">
        <w:t>from the time appointed for the Shareholders Meeting</w:t>
      </w:r>
      <w:r w:rsidR="009C3948" w:rsidRPr="00BD0BB8">
        <w:t>, then</w:t>
      </w:r>
      <w:r w:rsidRPr="00BD0BB8">
        <w:t xml:space="preserve"> the Person</w:t>
      </w:r>
      <w:r w:rsidR="00C4177E" w:rsidRPr="00BD0BB8">
        <w:t>(</w:t>
      </w:r>
      <w:r w:rsidRPr="00BD0BB8">
        <w:t>s</w:t>
      </w:r>
      <w:r w:rsidR="00C4177E" w:rsidRPr="00BD0BB8">
        <w:t>)</w:t>
      </w:r>
      <w:r w:rsidRPr="00BD0BB8">
        <w:t xml:space="preserve"> entitled to vote Present shall be deemed to be the requisite quorum</w:t>
      </w:r>
      <w:bookmarkEnd w:id="138"/>
      <w:r w:rsidR="00E5359B" w:rsidRPr="00BD0BB8">
        <w:t>.</w:t>
      </w:r>
      <w:bookmarkEnd w:id="139"/>
      <w:bookmarkEnd w:id="140"/>
      <w:r w:rsidR="001D2620" w:rsidRPr="00BD0BB8">
        <w:rPr>
          <w:rStyle w:val="FootnoteReference"/>
          <w:color w:val="auto"/>
        </w:rPr>
        <w:footnoteReference w:id="61"/>
      </w:r>
    </w:p>
    <w:p w14:paraId="121A30AC" w14:textId="42105FC8" w:rsidR="002E6B86" w:rsidRPr="00BD0BB8" w:rsidRDefault="00BF3AAB" w:rsidP="006A005A">
      <w:pPr>
        <w:pStyle w:val="DA2SecondLevel"/>
        <w:keepNext w:val="0"/>
        <w:widowControl w:val="0"/>
        <w:jc w:val="both"/>
      </w:pPr>
      <w:bookmarkStart w:id="141" w:name="_Ref179360575"/>
      <w:r w:rsidRPr="00BD0BB8">
        <w:t>No further notice is required to be Delivered by the Company of a Shareholders Meeting that is postponed or adjourned as contemplated in clause </w:t>
      </w:r>
      <w:r w:rsidR="00F96529" w:rsidRPr="00BD0BB8">
        <w:fldChar w:fldCharType="begin"/>
      </w:r>
      <w:r w:rsidR="00F96529" w:rsidRPr="00BD0BB8">
        <w:instrText xml:space="preserve"> REF _Ref461107206 \r \h </w:instrText>
      </w:r>
      <w:r w:rsidR="00AD5D04" w:rsidRPr="00BD0BB8">
        <w:instrText xml:space="preserve"> \* MERGEFORMAT </w:instrText>
      </w:r>
      <w:r w:rsidR="00F96529" w:rsidRPr="00BD0BB8">
        <w:fldChar w:fldCharType="separate"/>
      </w:r>
      <w:r w:rsidR="00633773">
        <w:t>16.26</w:t>
      </w:r>
      <w:r w:rsidR="00F96529" w:rsidRPr="00BD0BB8">
        <w:fldChar w:fldCharType="end"/>
      </w:r>
      <w:r w:rsidRPr="00BD0BB8">
        <w:t>, unless the location for the Shareholders Meeting is different from</w:t>
      </w:r>
      <w:r w:rsidR="00D22DD7" w:rsidRPr="00BD0BB8">
        <w:t>:</w:t>
      </w:r>
      <w:bookmarkEnd w:id="141"/>
    </w:p>
    <w:p w14:paraId="11C9E5EB" w14:textId="77777777" w:rsidR="002E6B86" w:rsidRPr="00BD0BB8" w:rsidRDefault="00BF3AAB" w:rsidP="006A005A">
      <w:pPr>
        <w:pStyle w:val="Heading3"/>
        <w:keepNext w:val="0"/>
        <w:keepLines w:val="0"/>
        <w:widowControl w:val="0"/>
      </w:pPr>
      <w:r w:rsidRPr="00BD0BB8">
        <w:t>the location of the postponed or adjourned Shareholders Meeting; or</w:t>
      </w:r>
    </w:p>
    <w:p w14:paraId="09861B07" w14:textId="45640AD8" w:rsidR="002E6B86" w:rsidRPr="00BD0BB8" w:rsidRDefault="00BF3AAB" w:rsidP="006A005A">
      <w:pPr>
        <w:pStyle w:val="Heading3"/>
        <w:keepNext w:val="0"/>
        <w:keepLines w:val="0"/>
        <w:widowControl w:val="0"/>
      </w:pPr>
      <w:r w:rsidRPr="00BD0BB8">
        <w:t>a location announced at the time of adjournment, in the case of an adjourned Shareholders Meeting.</w:t>
      </w:r>
      <w:r w:rsidR="001D2620" w:rsidRPr="00BD0BB8">
        <w:rPr>
          <w:rStyle w:val="FootnoteReference"/>
        </w:rPr>
        <w:footnoteReference w:id="62"/>
      </w:r>
    </w:p>
    <w:p w14:paraId="78C786EC" w14:textId="77777777" w:rsidR="00462C16" w:rsidRPr="00BD0BB8" w:rsidRDefault="00BF3AAB" w:rsidP="006A005A">
      <w:pPr>
        <w:pStyle w:val="DA2SecondLevel"/>
        <w:keepNext w:val="0"/>
        <w:widowControl w:val="0"/>
        <w:jc w:val="both"/>
      </w:pPr>
      <w:bookmarkStart w:id="142" w:name="_Ref256481631"/>
      <w:r w:rsidRPr="00BD0BB8">
        <w:t xml:space="preserve">A Shareholders Meeting, or the consideration of any matter being debated at the Shareholders Meeting, may be adjourned from time to time without further notice on </w:t>
      </w:r>
      <w:r w:rsidRPr="00BD0BB8">
        <w:lastRenderedPageBreak/>
        <w:t>a motion supported by Persons entitled to exercise, in aggregate, a majority of the Voting Rights</w:t>
      </w:r>
      <w:r w:rsidR="00D22DD7" w:rsidRPr="00BD0BB8">
        <w:t>:</w:t>
      </w:r>
    </w:p>
    <w:p w14:paraId="19901275" w14:textId="77777777" w:rsidR="00462C16" w:rsidRPr="00BD0BB8" w:rsidRDefault="00BF3AAB" w:rsidP="006A005A">
      <w:pPr>
        <w:pStyle w:val="Heading3"/>
        <w:keepNext w:val="0"/>
        <w:keepLines w:val="0"/>
        <w:widowControl w:val="0"/>
      </w:pPr>
      <w:r w:rsidRPr="00BD0BB8">
        <w:t>held by all of the Persons who are present at the Shareholders Meeting at the time; and</w:t>
      </w:r>
    </w:p>
    <w:p w14:paraId="4720DCC2" w14:textId="2D88D2B2" w:rsidR="00462C16" w:rsidRPr="00BD0BB8" w:rsidRDefault="00BF3AAB" w:rsidP="006A005A">
      <w:pPr>
        <w:pStyle w:val="Heading3"/>
        <w:keepNext w:val="0"/>
        <w:keepLines w:val="0"/>
        <w:widowControl w:val="0"/>
      </w:pPr>
      <w:r w:rsidRPr="00BD0BB8">
        <w:t>that are entitled to be exercised on at least one matter remaining on the agenda of the Shareholders Meeting, or on the matter under debate, as the case may be.</w:t>
      </w:r>
      <w:r w:rsidR="00703860" w:rsidRPr="00BD0BB8">
        <w:rPr>
          <w:rStyle w:val="FootnoteReference"/>
        </w:rPr>
        <w:footnoteReference w:id="63"/>
      </w:r>
    </w:p>
    <w:p w14:paraId="52C1D88A" w14:textId="7D25EBE0" w:rsidR="009E40E9" w:rsidRPr="00BD0BB8" w:rsidRDefault="00BF3AAB" w:rsidP="006A005A">
      <w:pPr>
        <w:pStyle w:val="DA2SecondLevel"/>
        <w:keepNext w:val="0"/>
        <w:widowControl w:val="0"/>
        <w:jc w:val="both"/>
      </w:pPr>
      <w:r w:rsidRPr="00BD0BB8">
        <w:t xml:space="preserve">Such adjournment may be either to a fixed time and place or until further notice (in which latter case </w:t>
      </w:r>
      <w:r w:rsidR="009C0E34" w:rsidRPr="00BD0BB8">
        <w:t xml:space="preserve">the Company shall </w:t>
      </w:r>
      <w:r w:rsidR="00452023" w:rsidRPr="00BD0BB8">
        <w:t xml:space="preserve">Deliver </w:t>
      </w:r>
      <w:r w:rsidRPr="00BD0BB8">
        <w:t>a further notice to Holders), as agreed at the Shareholders Meeting.</w:t>
      </w:r>
      <w:r w:rsidR="00703860" w:rsidRPr="00BD0BB8">
        <w:rPr>
          <w:rStyle w:val="FootnoteReference"/>
          <w:color w:val="auto"/>
        </w:rPr>
        <w:footnoteReference w:id="64"/>
      </w:r>
    </w:p>
    <w:p w14:paraId="719D0CB5" w14:textId="77777777" w:rsidR="00462C16" w:rsidRPr="00BD0BB8" w:rsidRDefault="00BF3AAB" w:rsidP="006A005A">
      <w:pPr>
        <w:pStyle w:val="DA2SecondLevel"/>
        <w:keepNext w:val="0"/>
        <w:widowControl w:val="0"/>
        <w:jc w:val="both"/>
      </w:pPr>
      <w:r w:rsidRPr="00BD0BB8">
        <w:t>A Shareholders Meeting may not be adjourned beyond the earlier of</w:t>
      </w:r>
      <w:bookmarkEnd w:id="142"/>
      <w:r w:rsidR="00D22DD7" w:rsidRPr="00BD0BB8">
        <w:t>:</w:t>
      </w:r>
    </w:p>
    <w:p w14:paraId="30FD6F25" w14:textId="77777777" w:rsidR="00462C16" w:rsidRPr="00BD0BB8" w:rsidRDefault="00BF3AAB" w:rsidP="006A005A">
      <w:pPr>
        <w:pStyle w:val="Heading3"/>
        <w:keepNext w:val="0"/>
        <w:keepLines w:val="0"/>
        <w:widowControl w:val="0"/>
      </w:pPr>
      <w:r w:rsidRPr="00BD0BB8">
        <w:t>the date that is 120 (one hundred and twenty) Business Days after the Record Date; or</w:t>
      </w:r>
      <w:r w:rsidR="00625EB0" w:rsidRPr="00BD0BB8">
        <w:t xml:space="preserve"> </w:t>
      </w:r>
    </w:p>
    <w:p w14:paraId="059DADCB" w14:textId="77F1CF86" w:rsidR="00462C16" w:rsidRPr="00BD0BB8" w:rsidRDefault="00BF3AAB" w:rsidP="006A005A">
      <w:pPr>
        <w:pStyle w:val="Heading3"/>
        <w:keepNext w:val="0"/>
        <w:keepLines w:val="0"/>
        <w:widowControl w:val="0"/>
      </w:pPr>
      <w:r w:rsidRPr="00BD0BB8">
        <w:t>the date that is 60 (sixty) Business Days after the date on which the adjournment occurred.</w:t>
      </w:r>
      <w:r w:rsidR="00703860" w:rsidRPr="00BD0BB8">
        <w:rPr>
          <w:rStyle w:val="FootnoteReference"/>
        </w:rPr>
        <w:footnoteReference w:id="65"/>
      </w:r>
    </w:p>
    <w:p w14:paraId="0D2105F0" w14:textId="77777777" w:rsidR="00E551BD" w:rsidRPr="00BD0BB8" w:rsidRDefault="00BF3AAB" w:rsidP="006A005A">
      <w:pPr>
        <w:pStyle w:val="DA2SecondLevel"/>
        <w:keepNext w:val="0"/>
        <w:widowControl w:val="0"/>
        <w:jc w:val="both"/>
      </w:pPr>
      <w:r w:rsidRPr="00BD0BB8">
        <w:t xml:space="preserve">The </w:t>
      </w:r>
      <w:r w:rsidR="00F17795" w:rsidRPr="00BD0BB8">
        <w:t>chairperson</w:t>
      </w:r>
      <w:r w:rsidRPr="00BD0BB8">
        <w:t xml:space="preserve">, if any, of the Board shall preside as </w:t>
      </w:r>
      <w:r w:rsidR="00F17795" w:rsidRPr="00BD0BB8">
        <w:t>chairperson</w:t>
      </w:r>
      <w:r w:rsidR="00B33DDC" w:rsidRPr="00BD0BB8">
        <w:t xml:space="preserve"> at every Shareholders Meeting.</w:t>
      </w:r>
      <w:r w:rsidRPr="00BD0BB8">
        <w:t xml:space="preserve"> If there is no such </w:t>
      </w:r>
      <w:r w:rsidR="00F17795" w:rsidRPr="00BD0BB8">
        <w:t>chairperson</w:t>
      </w:r>
      <w:r w:rsidRPr="00BD0BB8">
        <w:t>, or if at any Shareholders Meeting he</w:t>
      </w:r>
      <w:r w:rsidR="00540101" w:rsidRPr="00BD0BB8">
        <w:t>/she</w:t>
      </w:r>
      <w:r w:rsidRPr="00BD0BB8">
        <w:t xml:space="preserve"> is not present within 15 (fifteen) minutes after the time appointed for holding the Shareholders Meeting or is unwilling to act as </w:t>
      </w:r>
      <w:r w:rsidR="00F17795" w:rsidRPr="00BD0BB8">
        <w:t>chairperson</w:t>
      </w:r>
      <w:r w:rsidRPr="00BD0BB8">
        <w:t xml:space="preserve">, the Persons entitled to vote which are </w:t>
      </w:r>
      <w:r w:rsidR="00452023" w:rsidRPr="00BD0BB8">
        <w:t xml:space="preserve">present </w:t>
      </w:r>
      <w:r w:rsidRPr="00BD0BB8">
        <w:t xml:space="preserve">shall select a Director present at the Shareholders Meeting, or if no Director </w:t>
      </w:r>
      <w:r w:rsidR="00625EB0" w:rsidRPr="00BD0BB8">
        <w:t xml:space="preserve">is </w:t>
      </w:r>
      <w:r w:rsidRPr="00BD0BB8">
        <w:t xml:space="preserve">present at the Shareholders Meeting, or if all the Directors present decline to take the chair, the Persons entitled to vote shall select one of their number which is </w:t>
      </w:r>
      <w:r w:rsidR="00452023" w:rsidRPr="00BD0BB8">
        <w:t xml:space="preserve">present </w:t>
      </w:r>
      <w:r w:rsidRPr="00BD0BB8">
        <w:t xml:space="preserve">to be </w:t>
      </w:r>
      <w:r w:rsidR="00F17795" w:rsidRPr="00BD0BB8">
        <w:t>chairperson</w:t>
      </w:r>
      <w:r w:rsidRPr="00BD0BB8">
        <w:t xml:space="preserve"> of the Shareholders Meeting.</w:t>
      </w:r>
    </w:p>
    <w:p w14:paraId="46ED7CB6" w14:textId="77777777" w:rsidR="008A2A70" w:rsidRPr="00BD0BB8" w:rsidRDefault="00BF3AAB" w:rsidP="006A005A">
      <w:pPr>
        <w:pStyle w:val="DA01"/>
      </w:pPr>
      <w:r w:rsidRPr="00BD0BB8">
        <w:t>Voting</w:t>
      </w:r>
    </w:p>
    <w:p w14:paraId="1FD6389F" w14:textId="1B0B7957" w:rsidR="00B96CE6" w:rsidRPr="00BD0BB8" w:rsidRDefault="00B96CE6" w:rsidP="006A005A">
      <w:pPr>
        <w:pStyle w:val="DA2SecondLevel"/>
        <w:keepNext w:val="0"/>
        <w:widowControl w:val="0"/>
        <w:jc w:val="both"/>
      </w:pPr>
      <w:r w:rsidRPr="00BD0BB8">
        <w:t xml:space="preserve">Each Holder of </w:t>
      </w:r>
      <w:r w:rsidR="006314B6">
        <w:t>Preference</w:t>
      </w:r>
      <w:r w:rsidR="005B1D25" w:rsidRPr="00BD0BB8">
        <w:t xml:space="preserve"> Shares </w:t>
      </w:r>
      <w:r w:rsidRPr="00BD0BB8">
        <w:t xml:space="preserve">shall be entitled to vote with the Holders of Ordinary Shares with respect to any matter upon which Holders of Ordinary Shares have the right to vote. In this regard, each Holder of </w:t>
      </w:r>
      <w:r w:rsidR="006314B6">
        <w:t>Preference</w:t>
      </w:r>
      <w:r w:rsidR="005B1D25" w:rsidRPr="00BD0BB8">
        <w:t xml:space="preserve"> Shares </w:t>
      </w:r>
      <w:r w:rsidRPr="00BD0BB8">
        <w:t xml:space="preserve">shall be entitled to a number of votes equal to the number of whole Ordinary Shares into which such Holder’s </w:t>
      </w:r>
      <w:r w:rsidR="006314B6">
        <w:t>Preference</w:t>
      </w:r>
      <w:r w:rsidR="005B1D25" w:rsidRPr="00BD0BB8">
        <w:t xml:space="preserve"> Shares </w:t>
      </w:r>
      <w:r w:rsidRPr="00BD0BB8">
        <w:t xml:space="preserve">could then be converted and, except as otherwise </w:t>
      </w:r>
      <w:r w:rsidRPr="00BD0BB8">
        <w:lastRenderedPageBreak/>
        <w:t xml:space="preserve">required by law or as set forth herein, shall have voting rights and powers equal to the voting rights and powers of the Ordinary Shares. </w:t>
      </w:r>
    </w:p>
    <w:p w14:paraId="7846F1D1" w14:textId="77777777" w:rsidR="00463706" w:rsidRPr="00BD0BB8" w:rsidRDefault="00463706" w:rsidP="006A005A">
      <w:pPr>
        <w:pStyle w:val="DA2SecondLevel"/>
        <w:keepNext w:val="0"/>
        <w:widowControl w:val="0"/>
        <w:jc w:val="both"/>
      </w:pPr>
      <w:r w:rsidRPr="00BD0BB8">
        <w:t>At any meeting of Shareholders, any Person who is present at the meeting, whether as a Shareholder or as a proxy for a Shareholder, shall be entitled to exercise the number of Voting Rights associated with the Securities held by such Shareholder, which Voting Rights shall be determined in accordance with the preferences, rights, limitations and other terms of such Securities, as set out in this MOI.</w:t>
      </w:r>
    </w:p>
    <w:p w14:paraId="54B7D8C2" w14:textId="7934795E" w:rsidR="007D51E9" w:rsidRPr="00BD0BB8" w:rsidRDefault="00BF3AAB" w:rsidP="006A005A">
      <w:pPr>
        <w:pStyle w:val="DA2SecondLevel"/>
        <w:keepNext w:val="0"/>
        <w:widowControl w:val="0"/>
        <w:jc w:val="both"/>
      </w:pPr>
      <w:r w:rsidRPr="00BD0BB8">
        <w:t>At any Shareholders Meeting a resolution put to the vote shall be decided by a poll</w:t>
      </w:r>
      <w:r w:rsidR="00703860" w:rsidRPr="00BD0BB8">
        <w:rPr>
          <w:rStyle w:val="FootnoteReference"/>
          <w:color w:val="auto"/>
        </w:rPr>
        <w:footnoteReference w:id="66"/>
      </w:r>
      <w:r w:rsidRPr="00BD0BB8">
        <w:t xml:space="preserve">, in terms of which </w:t>
      </w:r>
      <w:r w:rsidR="009C527F" w:rsidRPr="00BD0BB8">
        <w:t>every Person entitled to vote who is present at the Shareholders Meeting shall have the number of votes determined in accordance with the Voting Rights associated with the Securities in question.</w:t>
      </w:r>
      <w:r w:rsidR="00703860" w:rsidRPr="00BD0BB8">
        <w:rPr>
          <w:rStyle w:val="FootnoteReference"/>
          <w:color w:val="auto"/>
        </w:rPr>
        <w:footnoteReference w:id="67"/>
      </w:r>
    </w:p>
    <w:p w14:paraId="2C0371CE" w14:textId="77777777" w:rsidR="00575F7A" w:rsidRPr="00BD0BB8" w:rsidRDefault="00BF3AAB" w:rsidP="006A005A">
      <w:pPr>
        <w:pStyle w:val="DA2SecondLevel"/>
        <w:keepNext w:val="0"/>
        <w:widowControl w:val="0"/>
        <w:jc w:val="both"/>
        <w:rPr>
          <w:b/>
        </w:rPr>
      </w:pPr>
      <w:r w:rsidRPr="00BD0BB8">
        <w:t>A poll shall be taken in such manner as the chairperson directs, and the result of the poll shall be deemed to be the resolution of the Shareholders Meeting at which the poll was taken.</w:t>
      </w:r>
    </w:p>
    <w:p w14:paraId="1B31B1D2" w14:textId="77777777" w:rsidR="00575F7A" w:rsidRPr="00BD0BB8" w:rsidRDefault="00BF3AAB" w:rsidP="006A005A">
      <w:pPr>
        <w:pStyle w:val="DA2SecondLevel"/>
        <w:keepNext w:val="0"/>
        <w:widowControl w:val="0"/>
        <w:jc w:val="both"/>
        <w:rPr>
          <w:b/>
        </w:rPr>
      </w:pPr>
      <w:r w:rsidRPr="00BD0BB8">
        <w:t>Scrutineers may be appointed by the chairperson to declare the result of the poll, and if appointed, their decision, which shall be given by the chairperson of the Shareholders Meeting, shall be deemed to be the resolution of the Shareholders Meeting at which the poll was taken.</w:t>
      </w:r>
    </w:p>
    <w:p w14:paraId="5C7F91CA" w14:textId="77777777" w:rsidR="00575F7A" w:rsidRPr="00BD0BB8" w:rsidRDefault="00BF3AAB" w:rsidP="006A005A">
      <w:pPr>
        <w:pStyle w:val="DA2SecondLevel"/>
        <w:keepNext w:val="0"/>
        <w:widowControl w:val="0"/>
        <w:jc w:val="both"/>
      </w:pPr>
      <w:bookmarkStart w:id="143" w:name="_Ref255826596"/>
      <w:bookmarkStart w:id="144" w:name="_Ref255481431"/>
      <w:bookmarkEnd w:id="143"/>
      <w:r w:rsidRPr="00BD0BB8">
        <w:t>No objection shall be raised as to the admissibility of any vote except at the Shareholders Meeting or adjourned Shareholders Meeting at which the vote objected to is, may be given or tendered and every vote not disallowed at such Shareholders Meeting shall be valid for all purposes. Any such objection shall be referred to the chairperson of the Shareholders Meeting, whose decision shall be final and conclusive.</w:t>
      </w:r>
    </w:p>
    <w:p w14:paraId="2508DDAF" w14:textId="36610BE3" w:rsidR="00157174" w:rsidRPr="00BD0BB8" w:rsidRDefault="00BF3AAB" w:rsidP="006A005A">
      <w:pPr>
        <w:pStyle w:val="DA01"/>
      </w:pPr>
      <w:r w:rsidRPr="00BD0BB8">
        <w:t>Resolutions</w:t>
      </w:r>
      <w:r w:rsidR="00703860" w:rsidRPr="00BD0BB8">
        <w:rPr>
          <w:rStyle w:val="FootnoteReference"/>
        </w:rPr>
        <w:footnoteReference w:id="68"/>
      </w:r>
    </w:p>
    <w:p w14:paraId="602D3A3F" w14:textId="69D94677" w:rsidR="00560BFC" w:rsidRPr="00BD0BB8" w:rsidRDefault="00BF3AAB" w:rsidP="006A005A">
      <w:pPr>
        <w:pStyle w:val="DA2SecondLevel"/>
        <w:keepNext w:val="0"/>
        <w:widowControl w:val="0"/>
        <w:jc w:val="both"/>
      </w:pPr>
      <w:bookmarkStart w:id="145" w:name="_Ref278197379"/>
      <w:r w:rsidRPr="00BD0BB8">
        <w:t>Every resolution of Shareholders is either an Ordinary Resol</w:t>
      </w:r>
      <w:r w:rsidR="000C7E2C" w:rsidRPr="00BD0BB8">
        <w:t>ution or a Special Resolution.</w:t>
      </w:r>
      <w:r w:rsidR="00703860" w:rsidRPr="00BD0BB8">
        <w:rPr>
          <w:rStyle w:val="FootnoteReference"/>
          <w:color w:val="auto"/>
        </w:rPr>
        <w:footnoteReference w:id="69"/>
      </w:r>
    </w:p>
    <w:bookmarkEnd w:id="144"/>
    <w:bookmarkEnd w:id="145"/>
    <w:p w14:paraId="42205B27" w14:textId="46D0F50E" w:rsidR="005B4BE8" w:rsidRPr="00BD0BB8" w:rsidRDefault="00BF3AAB" w:rsidP="006A005A">
      <w:pPr>
        <w:pStyle w:val="DA2SecondLevel"/>
        <w:keepNext w:val="0"/>
        <w:widowControl w:val="0"/>
        <w:jc w:val="both"/>
      </w:pPr>
      <w:r w:rsidRPr="00BD0BB8">
        <w:lastRenderedPageBreak/>
        <w:t>In order to be adopted, an Ordinary Resolution requires the support of more than 50% (fifty percent) of the Voting Rights exercised on the resolution.</w:t>
      </w:r>
      <w:r w:rsidR="00703860" w:rsidRPr="00BD0BB8">
        <w:rPr>
          <w:rStyle w:val="FootnoteReference"/>
          <w:color w:val="auto"/>
        </w:rPr>
        <w:footnoteReference w:id="70"/>
      </w:r>
    </w:p>
    <w:p w14:paraId="6E55BFF5" w14:textId="28A092CF" w:rsidR="00463706" w:rsidRPr="00BD0BB8" w:rsidRDefault="00BF3AAB" w:rsidP="006A005A">
      <w:pPr>
        <w:pStyle w:val="DA2SecondLevel"/>
        <w:keepNext w:val="0"/>
        <w:widowControl w:val="0"/>
        <w:jc w:val="both"/>
      </w:pPr>
      <w:r w:rsidRPr="00BD0BB8">
        <w:t xml:space="preserve">In order to be adopted, a Special Resolution requires the support of at least </w:t>
      </w:r>
      <w:r w:rsidR="0020169E">
        <w:t>[</w:t>
      </w:r>
      <w:r w:rsidRPr="00BD0BB8">
        <w:t>75% (seventy five percent)</w:t>
      </w:r>
      <w:r w:rsidR="0020169E">
        <w:t>]</w:t>
      </w:r>
      <w:r w:rsidRPr="00BD0BB8">
        <w:t xml:space="preserve"> of the Voting Rights exercised on the resolution</w:t>
      </w:r>
      <w:r w:rsidR="00F96529" w:rsidRPr="00BD0BB8">
        <w:t>.</w:t>
      </w:r>
      <w:r w:rsidR="00703860" w:rsidRPr="00BD0BB8">
        <w:rPr>
          <w:rStyle w:val="FootnoteReference"/>
          <w:color w:val="auto"/>
        </w:rPr>
        <w:footnoteReference w:id="71"/>
      </w:r>
      <w:bookmarkStart w:id="146" w:name="_Ref256534067"/>
      <w:bookmarkStart w:id="147" w:name="_Toc256693263"/>
      <w:bookmarkStart w:id="148" w:name="_Toc256693495"/>
      <w:bookmarkStart w:id="149" w:name="_Toc256693641"/>
      <w:bookmarkStart w:id="150" w:name="_Toc256695181"/>
      <w:bookmarkStart w:id="151" w:name="_Toc256695497"/>
      <w:bookmarkStart w:id="152" w:name="_Ref256404385"/>
    </w:p>
    <w:p w14:paraId="6AB1FD35" w14:textId="77777777" w:rsidR="00463706" w:rsidRPr="00BD0BB8" w:rsidRDefault="00463706" w:rsidP="006A005A">
      <w:pPr>
        <w:pStyle w:val="DA1FirstLevelHeading"/>
        <w:keepNext w:val="0"/>
        <w:widowControl w:val="0"/>
        <w:jc w:val="both"/>
      </w:pPr>
      <w:r w:rsidRPr="00BD0BB8">
        <w:t>DEADLOCK</w:t>
      </w:r>
    </w:p>
    <w:p w14:paraId="494BC6FA" w14:textId="77777777" w:rsidR="00463706" w:rsidRPr="00BD0BB8" w:rsidRDefault="00463706" w:rsidP="006A005A">
      <w:pPr>
        <w:pStyle w:val="DA2SecondLevel"/>
        <w:keepNext w:val="0"/>
        <w:widowControl w:val="0"/>
        <w:jc w:val="both"/>
      </w:pPr>
      <w:r w:rsidRPr="00BD0BB8">
        <w:t>If there is a deadlock in that there is an equality of votes</w:t>
      </w:r>
      <w:r w:rsidR="00D962C7" w:rsidRPr="00BD0BB8">
        <w:t xml:space="preserve"> on any directors' resolution</w:t>
      </w:r>
      <w:r w:rsidRPr="00BD0BB8">
        <w:t>, such particular resolution only shall cease ipso facto to be within the directors' domain and shall be put to the Shareholders.</w:t>
      </w:r>
    </w:p>
    <w:p w14:paraId="7B1D2DCC" w14:textId="77777777" w:rsidR="00463706" w:rsidRPr="00BD0BB8" w:rsidRDefault="00463706" w:rsidP="006A005A">
      <w:pPr>
        <w:pStyle w:val="DA2SecondLevel"/>
        <w:keepNext w:val="0"/>
        <w:widowControl w:val="0"/>
        <w:jc w:val="both"/>
      </w:pPr>
      <w:r w:rsidRPr="00BD0BB8">
        <w:t>If the required majority for the passing of a Shareholders' resolution cannot be obtained or there is a deadlock in that there is an equality of votes, such deadlock shall not constitute a ground for the winding-up of the Company.</w:t>
      </w:r>
    </w:p>
    <w:p w14:paraId="2972E82B" w14:textId="77777777" w:rsidR="00462C16" w:rsidRPr="00BD0BB8" w:rsidRDefault="00BF3AAB" w:rsidP="006A005A">
      <w:pPr>
        <w:pStyle w:val="DA1FirstLevelHeading"/>
        <w:keepNext w:val="0"/>
        <w:widowControl w:val="0"/>
        <w:jc w:val="both"/>
      </w:pPr>
      <w:r w:rsidRPr="00BD0BB8">
        <w:t>RECORD DATE</w:t>
      </w:r>
      <w:bookmarkEnd w:id="146"/>
      <w:bookmarkEnd w:id="147"/>
      <w:bookmarkEnd w:id="148"/>
      <w:bookmarkEnd w:id="149"/>
      <w:bookmarkEnd w:id="150"/>
      <w:bookmarkEnd w:id="151"/>
    </w:p>
    <w:p w14:paraId="3841733E" w14:textId="31CE5227" w:rsidR="00CD7F5E" w:rsidRPr="00BD0BB8" w:rsidRDefault="00703860" w:rsidP="006A005A">
      <w:pPr>
        <w:pStyle w:val="DA2SecondLevel"/>
        <w:keepNext w:val="0"/>
        <w:widowControl w:val="0"/>
        <w:jc w:val="both"/>
      </w:pPr>
      <w:r w:rsidRPr="00BD0BB8">
        <w:rPr>
          <w:rStyle w:val="FootnoteReference"/>
          <w:color w:val="auto"/>
        </w:rPr>
        <w:footnoteReference w:id="72"/>
      </w:r>
      <w:bookmarkStart w:id="153" w:name="_Ref80778029"/>
      <w:r w:rsidR="00CD7F5E" w:rsidRPr="00BD0BB8">
        <w:rPr>
          <w:u w:val="single"/>
        </w:rPr>
        <w:t>Notices of Record Date.</w:t>
      </w:r>
      <w:r w:rsidR="00CD7F5E" w:rsidRPr="00BD0BB8">
        <w:t xml:space="preserve"> The definition of a Record Date as set by the Act is extended to include the determination by the Board of:</w:t>
      </w:r>
      <w:bookmarkEnd w:id="153"/>
    </w:p>
    <w:p w14:paraId="41EEDF26" w14:textId="77777777" w:rsidR="00CD7F5E" w:rsidRPr="00BD0BB8" w:rsidRDefault="00CD7F5E" w:rsidP="006A005A">
      <w:pPr>
        <w:pStyle w:val="Heading3"/>
        <w:keepNext w:val="0"/>
        <w:keepLines w:val="0"/>
        <w:widowControl w:val="0"/>
      </w:pPr>
      <w:r w:rsidRPr="00BD0BB8">
        <w:t xml:space="preserve">a record of the Holders of its Shares for the purpose of entitling them to receive a dividend or other distribution (other than a cash dividend) or to subscribe for or purchase any Shares of any class or to receive any other rights, </w:t>
      </w:r>
    </w:p>
    <w:p w14:paraId="03F3958B" w14:textId="759178AF" w:rsidR="00CD7F5E" w:rsidRPr="00BD0BB8" w:rsidRDefault="00CD7F5E" w:rsidP="006A005A">
      <w:pPr>
        <w:pStyle w:val="Heading3"/>
        <w:keepNext w:val="0"/>
        <w:keepLines w:val="0"/>
        <w:widowControl w:val="0"/>
      </w:pPr>
      <w:r w:rsidRPr="00BD0BB8">
        <w:t>any capital reorgani</w:t>
      </w:r>
      <w:r w:rsidR="0020169E">
        <w:t>s</w:t>
      </w:r>
      <w:r w:rsidRPr="00BD0BB8">
        <w:t>ation, reclassification or recapitali</w:t>
      </w:r>
      <w:r w:rsidR="0020169E">
        <w:t>s</w:t>
      </w:r>
      <w:r w:rsidRPr="00BD0BB8">
        <w:t xml:space="preserve">ation (other than a subdivision or combination of its </w:t>
      </w:r>
      <w:r w:rsidR="00C33762">
        <w:t>issued</w:t>
      </w:r>
      <w:r w:rsidRPr="00BD0BB8">
        <w:t xml:space="preserve"> Ordinary Shares), or </w:t>
      </w:r>
    </w:p>
    <w:p w14:paraId="32BC95B7" w14:textId="77777777" w:rsidR="00CD7F5E" w:rsidRPr="00BD0BB8" w:rsidRDefault="00CD7F5E" w:rsidP="006A005A">
      <w:pPr>
        <w:pStyle w:val="Heading3"/>
        <w:keepNext w:val="0"/>
        <w:keepLines w:val="0"/>
        <w:widowControl w:val="0"/>
      </w:pPr>
      <w:r w:rsidRPr="00BD0BB8">
        <w:t>a Liquidity Even</w:t>
      </w:r>
      <w:r w:rsidR="00287630" w:rsidRPr="00BD0BB8">
        <w:t xml:space="preserve">t, </w:t>
      </w:r>
      <w:r w:rsidRPr="00BD0BB8">
        <w:t xml:space="preserve"> </w:t>
      </w:r>
    </w:p>
    <w:p w14:paraId="07C86B5F" w14:textId="3FC6F1F6" w:rsidR="00CD7F5E" w:rsidRPr="00BD0BB8" w:rsidRDefault="00CD7F5E" w:rsidP="006A005A">
      <w:pPr>
        <w:pStyle w:val="DA2SecondLevel"/>
        <w:keepNext w:val="0"/>
        <w:widowControl w:val="0"/>
        <w:numPr>
          <w:ilvl w:val="0"/>
          <w:numId w:val="0"/>
        </w:numPr>
        <w:ind w:left="1418"/>
        <w:jc w:val="both"/>
      </w:pPr>
      <w:r w:rsidRPr="00BD0BB8">
        <w:t xml:space="preserve">and where the Board determines a Record Date then, and in any such case, the Company shall give written notice to its Shareholders at the address of record of such </w:t>
      </w:r>
      <w:r w:rsidR="007D61F4" w:rsidRPr="00BD0BB8">
        <w:t>Shareholder</w:t>
      </w:r>
      <w:r w:rsidRPr="00BD0BB8">
        <w:t xml:space="preserve"> as set forth on the Company’s books, at least ten (10) days prior to the </w:t>
      </w:r>
      <w:r w:rsidRPr="00BD0BB8">
        <w:lastRenderedPageBreak/>
        <w:t>earlier date hereinafter specified</w:t>
      </w:r>
      <w:r w:rsidR="00287630" w:rsidRPr="00BD0BB8">
        <w:t xml:space="preserve">; provided, however, that such notice period may be shortened upon the written consent of Holders of </w:t>
      </w:r>
      <w:r w:rsidR="006314B6">
        <w:t>Preference</w:t>
      </w:r>
      <w:r w:rsidR="005B1D25" w:rsidRPr="00BD0BB8">
        <w:t xml:space="preserve"> Shares </w:t>
      </w:r>
      <w:r w:rsidR="00287630" w:rsidRPr="00BD0BB8">
        <w:t xml:space="preserve">that are entitled to such notice rights or similar notice rights and that represent a majority of the voting power of all then </w:t>
      </w:r>
      <w:r w:rsidR="00C33762">
        <w:t>issued</w:t>
      </w:r>
      <w:r w:rsidR="00287630" w:rsidRPr="00BD0BB8">
        <w:t xml:space="preserve"> </w:t>
      </w:r>
      <w:r w:rsidR="006314B6">
        <w:t>Preference</w:t>
      </w:r>
      <w:r w:rsidR="00DE6F71" w:rsidRPr="00BD0BB8">
        <w:t xml:space="preserve"> Share</w:t>
      </w:r>
      <w:r w:rsidR="00287630" w:rsidRPr="00BD0BB8">
        <w:t>.</w:t>
      </w:r>
    </w:p>
    <w:p w14:paraId="2ECBBF7B" w14:textId="665DEBE7" w:rsidR="00287630" w:rsidRPr="00BD0BB8" w:rsidRDefault="00CD7F5E" w:rsidP="006A005A">
      <w:pPr>
        <w:pStyle w:val="DA2SecondLevel"/>
        <w:keepNext w:val="0"/>
        <w:widowControl w:val="0"/>
        <w:jc w:val="both"/>
      </w:pPr>
      <w:r w:rsidRPr="00BD0BB8">
        <w:t xml:space="preserve">The written notice referred to in clause </w:t>
      </w:r>
      <w:r w:rsidRPr="00BD0BB8">
        <w:fldChar w:fldCharType="begin"/>
      </w:r>
      <w:r w:rsidRPr="00BD0BB8">
        <w:instrText xml:space="preserve"> REF _Ref80778029 \r \h </w:instrText>
      </w:r>
      <w:r w:rsidR="00AD5D04" w:rsidRPr="00BD0BB8">
        <w:instrText xml:space="preserve"> \* MERGEFORMAT </w:instrText>
      </w:r>
      <w:r w:rsidRPr="00BD0BB8">
        <w:fldChar w:fldCharType="separate"/>
      </w:r>
      <w:r w:rsidR="00633773">
        <w:t>18.1</w:t>
      </w:r>
      <w:r w:rsidRPr="00BD0BB8">
        <w:fldChar w:fldCharType="end"/>
      </w:r>
      <w:r w:rsidR="00287630" w:rsidRPr="00BD0BB8">
        <w:t xml:space="preserve"> shall state: </w:t>
      </w:r>
    </w:p>
    <w:p w14:paraId="597D8C5A" w14:textId="5C8A7630" w:rsidR="00287630" w:rsidRPr="00BD0BB8" w:rsidRDefault="00CD7F5E" w:rsidP="006A005A">
      <w:pPr>
        <w:pStyle w:val="Heading3"/>
        <w:keepNext w:val="0"/>
        <w:keepLines w:val="0"/>
        <w:widowControl w:val="0"/>
      </w:pPr>
      <w:r w:rsidRPr="00BD0BB8">
        <w:t>the material terms of the proposed transaction and the date on which (a.) a record is to be taken for the purpose of such dividend, distribution or rights or (b.) such reorgani</w:t>
      </w:r>
      <w:r w:rsidR="0020169E">
        <w:t>s</w:t>
      </w:r>
      <w:r w:rsidRPr="00BD0BB8">
        <w:t>ation, reclassification, recapitali</w:t>
      </w:r>
      <w:r w:rsidR="0020169E">
        <w:t>s</w:t>
      </w:r>
      <w:r w:rsidRPr="00BD0BB8">
        <w:t>ation or Liquidity Event is to take place</w:t>
      </w:r>
      <w:r w:rsidR="00287630" w:rsidRPr="00BD0BB8">
        <w:t xml:space="preserve">; and </w:t>
      </w:r>
    </w:p>
    <w:p w14:paraId="407E3B27" w14:textId="5EEE2D2D" w:rsidR="00287630" w:rsidRPr="00BD0BB8" w:rsidRDefault="00CD7F5E" w:rsidP="006A005A">
      <w:pPr>
        <w:pStyle w:val="Heading3"/>
        <w:keepNext w:val="0"/>
        <w:keepLines w:val="0"/>
        <w:widowControl w:val="0"/>
      </w:pPr>
      <w:r w:rsidRPr="00BD0BB8">
        <w:t>the date, if any is to be fixed, as of which Holders of record shall be entitled to exchange their Shares for securities or other property deliverable upon such reorgani</w:t>
      </w:r>
      <w:r w:rsidR="0020169E">
        <w:t>s</w:t>
      </w:r>
      <w:r w:rsidRPr="00BD0BB8">
        <w:t>ation, reclassification, recapitali</w:t>
      </w:r>
      <w:r w:rsidR="0020169E">
        <w:t>s</w:t>
      </w:r>
      <w:r w:rsidRPr="00BD0BB8">
        <w:t>ation or Liquidity Event</w:t>
      </w:r>
      <w:r w:rsidR="00D5256A" w:rsidRPr="00BD0BB8">
        <w:t xml:space="preserve">, </w:t>
      </w:r>
      <w:r w:rsidRPr="00BD0BB8">
        <w:t xml:space="preserve"> </w:t>
      </w:r>
    </w:p>
    <w:p w14:paraId="45B01492" w14:textId="77777777" w:rsidR="00CD7F5E" w:rsidRPr="00BD0BB8" w:rsidRDefault="00D5256A" w:rsidP="006A005A">
      <w:pPr>
        <w:pStyle w:val="DA2SecondLevel"/>
        <w:keepNext w:val="0"/>
        <w:widowControl w:val="0"/>
        <w:numPr>
          <w:ilvl w:val="0"/>
          <w:numId w:val="0"/>
        </w:numPr>
        <w:ind w:left="1418"/>
        <w:jc w:val="both"/>
      </w:pPr>
      <w:r w:rsidRPr="00BD0BB8">
        <w:t>and i</w:t>
      </w:r>
      <w:r w:rsidR="00CD7F5E" w:rsidRPr="00BD0BB8">
        <w:t xml:space="preserve">f any material change in the facts set forth in the written notice shall occur, the Company shall promptly give written notice of such material change to each </w:t>
      </w:r>
      <w:r w:rsidRPr="00BD0BB8">
        <w:t>Shareholder</w:t>
      </w:r>
      <w:r w:rsidR="00CD7F5E" w:rsidRPr="00BD0BB8">
        <w:t>.</w:t>
      </w:r>
    </w:p>
    <w:p w14:paraId="0F11F0DF" w14:textId="77777777" w:rsidR="00462C16" w:rsidRPr="00BD0BB8" w:rsidRDefault="00BF3AAB" w:rsidP="006A005A">
      <w:pPr>
        <w:pStyle w:val="DA2SecondLevel"/>
        <w:keepNext w:val="0"/>
        <w:widowControl w:val="0"/>
        <w:jc w:val="both"/>
      </w:pPr>
      <w:r w:rsidRPr="00BD0BB8">
        <w:t>If, at any time, the Board fails to determine a Record Date</w:t>
      </w:r>
      <w:r w:rsidR="00B97F57" w:rsidRPr="00BD0BB8">
        <w:t xml:space="preserve"> in respect of the matter</w:t>
      </w:r>
      <w:r w:rsidRPr="00BD0BB8">
        <w:t>, the Record Date is</w:t>
      </w:r>
      <w:r w:rsidR="00D22DD7" w:rsidRPr="00BD0BB8">
        <w:t>:</w:t>
      </w:r>
    </w:p>
    <w:p w14:paraId="3E524798" w14:textId="2708942D" w:rsidR="00462C16" w:rsidRPr="00BD0BB8" w:rsidRDefault="00BF3AAB" w:rsidP="006A005A">
      <w:pPr>
        <w:pStyle w:val="Heading3"/>
        <w:keepNext w:val="0"/>
        <w:keepLines w:val="0"/>
        <w:widowControl w:val="0"/>
      </w:pPr>
      <w:r w:rsidRPr="00BD0BB8">
        <w:t xml:space="preserve">in the case of a Shareholders Meeting, the latest date by which the Company is required to Deliver to Holders entitled to vote, notice </w:t>
      </w:r>
      <w:r w:rsidR="00072EEB" w:rsidRPr="00BD0BB8">
        <w:t>of that Shareholders Meeting;</w:t>
      </w:r>
    </w:p>
    <w:p w14:paraId="75916EFA" w14:textId="77777777" w:rsidR="00462C16" w:rsidRPr="00BD0BB8" w:rsidRDefault="00BF3AAB" w:rsidP="006A005A">
      <w:pPr>
        <w:pStyle w:val="Heading3"/>
        <w:keepNext w:val="0"/>
        <w:keepLines w:val="0"/>
        <w:widowControl w:val="0"/>
      </w:pPr>
      <w:r w:rsidRPr="00BD0BB8">
        <w:t>in the case of dividends</w:t>
      </w:r>
      <w:r w:rsidR="00F0052D" w:rsidRPr="00BD0BB8">
        <w:t>,</w:t>
      </w:r>
      <w:r w:rsidRPr="00BD0BB8">
        <w:t xml:space="preserve"> a date subsequent </w:t>
      </w:r>
      <w:r w:rsidR="001970CA" w:rsidRPr="00BD0BB8">
        <w:t>to the declaration date or</w:t>
      </w:r>
      <w:r w:rsidRPr="00BD0BB8">
        <w:t xml:space="preserve"> confirmation of the dividend, whichever is the later;</w:t>
      </w:r>
      <w:r w:rsidR="00204811" w:rsidRPr="00BD0BB8">
        <w:t xml:space="preserve"> </w:t>
      </w:r>
      <w:r w:rsidR="00072EEB" w:rsidRPr="00BD0BB8">
        <w:t>or</w:t>
      </w:r>
    </w:p>
    <w:p w14:paraId="675B6813" w14:textId="1647494F" w:rsidR="00462C16" w:rsidRPr="00BD0BB8" w:rsidRDefault="00BF3AAB" w:rsidP="006A005A">
      <w:pPr>
        <w:pStyle w:val="Heading3"/>
        <w:keepNext w:val="0"/>
        <w:keepLines w:val="0"/>
        <w:widowControl w:val="0"/>
      </w:pPr>
      <w:r w:rsidRPr="00BD0BB8">
        <w:t>the date of the action or event, in any other case.</w:t>
      </w:r>
      <w:r w:rsidR="00703860" w:rsidRPr="00BD0BB8">
        <w:rPr>
          <w:rStyle w:val="FootnoteReference"/>
        </w:rPr>
        <w:footnoteReference w:id="73"/>
      </w:r>
      <w:r w:rsidR="00096D8F" w:rsidRPr="00BD0BB8">
        <w:rPr>
          <w:rStyle w:val="FootnoteReference"/>
        </w:rPr>
        <w:t xml:space="preserve"> </w:t>
      </w:r>
      <w:r w:rsidR="00096D8F" w:rsidRPr="00BD0BB8">
        <w:rPr>
          <w:rStyle w:val="FootnoteReference"/>
        </w:rPr>
        <w:footnoteReference w:id="74"/>
      </w:r>
    </w:p>
    <w:p w14:paraId="4373B0A3" w14:textId="77777777" w:rsidR="00096D8F" w:rsidRPr="00BD0BB8" w:rsidRDefault="00096D8F" w:rsidP="006A005A">
      <w:pPr>
        <w:widowControl w:val="0"/>
        <w:spacing w:line="240" w:lineRule="auto"/>
        <w:rPr>
          <w:rFonts w:cs="Arial"/>
          <w:b/>
          <w:bCs/>
          <w:caps/>
          <w:u w:val="single"/>
        </w:rPr>
      </w:pPr>
      <w:r w:rsidRPr="00BD0BB8">
        <w:rPr>
          <w:rFonts w:cs="Arial"/>
          <w:u w:val="single"/>
        </w:rPr>
        <w:br w:type="page"/>
      </w:r>
    </w:p>
    <w:p w14:paraId="38B49976" w14:textId="68E8BBA6" w:rsidR="00573B79" w:rsidRPr="00BD0BB8" w:rsidRDefault="00BF3AAB" w:rsidP="006A005A">
      <w:pPr>
        <w:pStyle w:val="Heading1"/>
        <w:keepNext w:val="0"/>
        <w:widowControl w:val="0"/>
        <w:numPr>
          <w:ilvl w:val="0"/>
          <w:numId w:val="0"/>
        </w:numPr>
        <w:ind w:left="709"/>
        <w:jc w:val="both"/>
        <w:rPr>
          <w:rFonts w:ascii="Arial" w:hAnsi="Arial"/>
          <w:color w:val="auto"/>
          <w:u w:val="single"/>
        </w:rPr>
      </w:pPr>
      <w:r w:rsidRPr="00BD0BB8">
        <w:rPr>
          <w:rFonts w:ascii="Arial" w:hAnsi="Arial"/>
          <w:color w:val="auto"/>
          <w:u w:val="single"/>
        </w:rPr>
        <w:lastRenderedPageBreak/>
        <w:t xml:space="preserve">Part </w:t>
      </w:r>
      <w:r w:rsidR="001970CA" w:rsidRPr="00BD0BB8">
        <w:rPr>
          <w:rFonts w:ascii="Arial" w:hAnsi="Arial"/>
          <w:color w:val="auto"/>
          <w:u w:val="single"/>
        </w:rPr>
        <w:t>6</w:t>
      </w:r>
      <w:r w:rsidR="00B94A45" w:rsidRPr="00BD0BB8">
        <w:rPr>
          <w:rFonts w:ascii="Arial" w:hAnsi="Arial"/>
          <w:color w:val="auto"/>
          <w:u w:val="single"/>
        </w:rPr>
        <w:t xml:space="preserve"> – Directors</w:t>
      </w:r>
    </w:p>
    <w:p w14:paraId="037027AD" w14:textId="4B0505A4" w:rsidR="00462C16" w:rsidRPr="00BD0BB8" w:rsidRDefault="00BF3AAB" w:rsidP="006A005A">
      <w:pPr>
        <w:pStyle w:val="DA1FirstLevelHeading"/>
        <w:keepNext w:val="0"/>
        <w:widowControl w:val="0"/>
        <w:jc w:val="both"/>
      </w:pPr>
      <w:bookmarkStart w:id="154" w:name="_Ref256537802"/>
      <w:bookmarkStart w:id="155" w:name="_Toc256693265"/>
      <w:bookmarkStart w:id="156" w:name="_Toc256693497"/>
      <w:bookmarkStart w:id="157" w:name="_Toc256693643"/>
      <w:bookmarkStart w:id="158" w:name="_Toc256695183"/>
      <w:bookmarkStart w:id="159" w:name="_Toc256695499"/>
      <w:bookmarkStart w:id="160" w:name="_Ref447097543"/>
      <w:r w:rsidRPr="00BD0BB8">
        <w:t>ELECTION OF DIRECTORS</w:t>
      </w:r>
      <w:bookmarkEnd w:id="152"/>
      <w:bookmarkEnd w:id="154"/>
      <w:bookmarkEnd w:id="155"/>
      <w:bookmarkEnd w:id="156"/>
      <w:bookmarkEnd w:id="157"/>
      <w:bookmarkEnd w:id="158"/>
      <w:bookmarkEnd w:id="159"/>
      <w:r w:rsidR="001E47D5" w:rsidRPr="00BD0BB8">
        <w:t xml:space="preserve"> </w:t>
      </w:r>
      <w:r w:rsidRPr="00BD0BB8">
        <w:t>AND CASUAL VACANCIES</w:t>
      </w:r>
      <w:bookmarkEnd w:id="160"/>
      <w:r w:rsidR="00E86A71" w:rsidRPr="00BD0BB8">
        <w:rPr>
          <w:color w:val="auto"/>
        </w:rPr>
        <w:t xml:space="preserve"> </w:t>
      </w:r>
      <w:r w:rsidR="00E86A71" w:rsidRPr="00BD0BB8">
        <w:rPr>
          <w:rStyle w:val="FootnoteReference"/>
          <w:color w:val="auto"/>
        </w:rPr>
        <w:footnoteReference w:id="75"/>
      </w:r>
    </w:p>
    <w:p w14:paraId="00AEC93B" w14:textId="44C7772D" w:rsidR="00F0052D" w:rsidRPr="00BD0BB8" w:rsidRDefault="00BF3AAB" w:rsidP="006A005A">
      <w:pPr>
        <w:pStyle w:val="DA2SecondLevel"/>
        <w:keepNext w:val="0"/>
        <w:widowControl w:val="0"/>
        <w:jc w:val="both"/>
      </w:pPr>
      <w:bookmarkStart w:id="161" w:name="_Ref255725051"/>
      <w:r w:rsidRPr="00BD0BB8">
        <w:t>The</w:t>
      </w:r>
      <w:r w:rsidR="00B571DC" w:rsidRPr="00BD0BB8">
        <w:t xml:space="preserve"> Board shall </w:t>
      </w:r>
      <w:r w:rsidR="00693409" w:rsidRPr="00BD0BB8">
        <w:t>consist of not more than</w:t>
      </w:r>
      <w:r w:rsidR="00B41E72" w:rsidRPr="00BD0BB8">
        <w:t xml:space="preserve"> </w:t>
      </w:r>
      <w:r w:rsidR="00050999" w:rsidRPr="00BD0BB8">
        <w:rPr>
          <w:highlight w:val="yellow"/>
        </w:rPr>
        <w:t>[</w:t>
      </w:r>
      <w:r w:rsidR="00B41E72" w:rsidRPr="00BD0BB8">
        <w:rPr>
          <w:highlight w:val="yellow"/>
        </w:rPr>
        <w:t>5</w:t>
      </w:r>
      <w:r w:rsidR="00050999" w:rsidRPr="00BD0BB8">
        <w:rPr>
          <w:highlight w:val="yellow"/>
        </w:rPr>
        <w:t>]</w:t>
      </w:r>
      <w:r w:rsidR="00B41E72" w:rsidRPr="00BD0BB8">
        <w:t xml:space="preserve"> Directors</w:t>
      </w:r>
      <w:r w:rsidRPr="00BD0BB8">
        <w:t>.</w:t>
      </w:r>
      <w:bookmarkEnd w:id="161"/>
    </w:p>
    <w:p w14:paraId="73CDA205" w14:textId="329FA790" w:rsidR="00096D8F" w:rsidRPr="00BD0BB8" w:rsidRDefault="00096D8F" w:rsidP="006A005A">
      <w:pPr>
        <w:pStyle w:val="DA2SecondLevel"/>
        <w:keepNext w:val="0"/>
        <w:widowControl w:val="0"/>
        <w:jc w:val="both"/>
        <w:rPr>
          <w:b/>
        </w:rPr>
      </w:pPr>
      <w:bookmarkStart w:id="162" w:name="_Ref209004888"/>
      <w:bookmarkStart w:id="163" w:name="_Ref447096950"/>
      <w:r w:rsidRPr="00BD0BB8">
        <w:t xml:space="preserve">Each Shareholder undertakes to vote their Shares </w:t>
      </w:r>
      <w:r w:rsidR="009B43AE" w:rsidRPr="00BD0BB8">
        <w:t xml:space="preserve">at any Shareholders’ meeting, or to sign any written resolution, </w:t>
      </w:r>
      <w:r w:rsidRPr="00BD0BB8">
        <w:t xml:space="preserve">in favour of the nomination and appointment of the Directors, </w:t>
      </w:r>
      <w:r w:rsidRPr="00BD0BB8">
        <w:rPr>
          <w:bCs w:val="0"/>
        </w:rPr>
        <w:t>such that the Board shall be composed as follows</w:t>
      </w:r>
      <w:r w:rsidRPr="00BD0BB8">
        <w:rPr>
          <w:b/>
        </w:rPr>
        <w:t>:</w:t>
      </w:r>
      <w:bookmarkEnd w:id="162"/>
    </w:p>
    <w:p w14:paraId="12C8D884" w14:textId="5F00E537" w:rsidR="00096D8F" w:rsidRPr="00BD0BB8" w:rsidRDefault="00096D8F" w:rsidP="006A005A">
      <w:pPr>
        <w:pStyle w:val="Heading3"/>
        <w:keepNext w:val="0"/>
        <w:keepLines w:val="0"/>
        <w:widowControl w:val="0"/>
      </w:pPr>
      <w:r w:rsidRPr="00BD0BB8">
        <w:t xml:space="preserve">The </w:t>
      </w:r>
      <w:r w:rsidRPr="00BD0BB8">
        <w:rPr>
          <w:b/>
          <w:bCs/>
        </w:rPr>
        <w:t>Preference Share Director</w:t>
      </w:r>
      <w:r w:rsidR="009B43AE" w:rsidRPr="00BD0BB8">
        <w:rPr>
          <w:b/>
          <w:bCs/>
        </w:rPr>
        <w:t>/s</w:t>
      </w:r>
      <w:r w:rsidRPr="00BD0BB8">
        <w:t xml:space="preserve"> elected by the</w:t>
      </w:r>
      <w:r w:rsidR="007E5EF0" w:rsidRPr="00BD0BB8">
        <w:t xml:space="preserve"> Holder</w:t>
      </w:r>
      <w:r w:rsidRPr="00BD0BB8">
        <w:t xml:space="preserve">s of the </w:t>
      </w:r>
      <w:r w:rsidR="006314B6">
        <w:t>Preference</w:t>
      </w:r>
      <w:r w:rsidRPr="00BD0BB8">
        <w:t xml:space="preserve"> Shares in terms of paragraph </w:t>
      </w:r>
      <w:r w:rsidRPr="00BD0BB8">
        <w:fldChar w:fldCharType="begin"/>
      </w:r>
      <w:r w:rsidRPr="00BD0BB8">
        <w:instrText xml:space="preserve"> REF _Ref208393461 \r \h </w:instrText>
      </w:r>
      <w:r w:rsidR="00BD0BB8" w:rsidRPr="00BD0BB8">
        <w:instrText xml:space="preserve"> \* MERGEFORMAT </w:instrText>
      </w:r>
      <w:r w:rsidRPr="00BD0BB8">
        <w:fldChar w:fldCharType="separate"/>
      </w:r>
      <w:r w:rsidR="00633773">
        <w:t>3</w:t>
      </w:r>
      <w:r w:rsidRPr="00BD0BB8">
        <w:fldChar w:fldCharType="end"/>
      </w:r>
      <w:r w:rsidRPr="00BD0BB8">
        <w:t xml:space="preserve"> of Annexure A;</w:t>
      </w:r>
      <w:r w:rsidR="007E5EF0" w:rsidRPr="00BD0BB8">
        <w:t xml:space="preserve"> and</w:t>
      </w:r>
    </w:p>
    <w:p w14:paraId="7A9FCEBD" w14:textId="240F02FB" w:rsidR="00096D8F" w:rsidRPr="00BD0BB8" w:rsidRDefault="00096D8F" w:rsidP="006A005A">
      <w:pPr>
        <w:pStyle w:val="Heading3"/>
        <w:keepNext w:val="0"/>
        <w:keepLines w:val="0"/>
        <w:widowControl w:val="0"/>
      </w:pPr>
      <w:r w:rsidRPr="00BD0BB8">
        <w:t>[</w:t>
      </w:r>
      <w:r w:rsidRPr="00BD0BB8">
        <w:rPr>
          <w:b/>
          <w:bCs/>
        </w:rPr>
        <w:t>Two</w:t>
      </w:r>
      <w:r w:rsidRPr="00BD0BB8">
        <w:t>] directors elected by the</w:t>
      </w:r>
      <w:r w:rsidR="007E5EF0" w:rsidRPr="00BD0BB8">
        <w:t xml:space="preserve"> Holder</w:t>
      </w:r>
      <w:r w:rsidRPr="00BD0BB8">
        <w:t xml:space="preserve">s of the Ordinary Shares, voting as a separate class (the </w:t>
      </w:r>
      <w:r w:rsidR="006A005A">
        <w:t>"</w:t>
      </w:r>
      <w:r w:rsidRPr="00BD0BB8">
        <w:rPr>
          <w:b/>
          <w:bCs/>
        </w:rPr>
        <w:t>Ordinary Directors</w:t>
      </w:r>
      <w:r w:rsidR="006A005A">
        <w:t>"</w:t>
      </w:r>
      <w:r w:rsidRPr="00BD0BB8">
        <w:t>)</w:t>
      </w:r>
      <w:r w:rsidR="007E5EF0" w:rsidRPr="00BD0BB8">
        <w:t>.</w:t>
      </w:r>
      <w:r w:rsidR="007E5EF0" w:rsidRPr="00BD0BB8">
        <w:rPr>
          <w:rStyle w:val="FootnoteReference"/>
        </w:rPr>
        <w:footnoteReference w:id="76"/>
      </w:r>
    </w:p>
    <w:bookmarkEnd w:id="163"/>
    <w:p w14:paraId="305D15F2" w14:textId="7A6E005B" w:rsidR="00462C16" w:rsidRPr="00BD0BB8" w:rsidRDefault="009B43AE" w:rsidP="006A005A">
      <w:pPr>
        <w:pStyle w:val="DA2SecondLevel"/>
        <w:keepNext w:val="0"/>
        <w:widowControl w:val="0"/>
        <w:jc w:val="both"/>
        <w:rPr>
          <w:b/>
        </w:rPr>
      </w:pPr>
      <w:r w:rsidRPr="00BD0BB8">
        <w:t xml:space="preserve">Except as provided for the specific appointment rights set out in this clause </w:t>
      </w:r>
      <w:r w:rsidR="000E1C4D" w:rsidRPr="00BD0BB8">
        <w:fldChar w:fldCharType="begin"/>
      </w:r>
      <w:r w:rsidR="000E1C4D" w:rsidRPr="00BD0BB8">
        <w:instrText xml:space="preserve"> REF _Ref209004888 \r \h </w:instrText>
      </w:r>
      <w:r w:rsidR="00BD0BB8" w:rsidRPr="00BD0BB8">
        <w:instrText xml:space="preserve"> \* MERGEFORMAT </w:instrText>
      </w:r>
      <w:r w:rsidR="000E1C4D" w:rsidRPr="00BD0BB8">
        <w:fldChar w:fldCharType="separate"/>
      </w:r>
      <w:r w:rsidR="00633773">
        <w:t>19.2</w:t>
      </w:r>
      <w:r w:rsidR="000E1C4D" w:rsidRPr="00BD0BB8">
        <w:fldChar w:fldCharType="end"/>
      </w:r>
      <w:r w:rsidRPr="00BD0BB8">
        <w:t xml:space="preserve"> and in Annexure A, the election of any director </w:t>
      </w:r>
      <w:r w:rsidR="00A1625F" w:rsidRPr="00BD0BB8">
        <w:t>and alternate</w:t>
      </w:r>
      <w:r w:rsidR="00A1625F" w:rsidRPr="00BD0BB8">
        <w:rPr>
          <w:rStyle w:val="FootnoteReference"/>
          <w:color w:val="auto"/>
        </w:rPr>
        <w:footnoteReference w:id="77"/>
      </w:r>
      <w:bookmarkStart w:id="164" w:name="_Ref279489601"/>
      <w:bookmarkEnd w:id="164"/>
      <w:r w:rsidR="00A1625F" w:rsidRPr="00BD0BB8">
        <w:t xml:space="preserve">  director </w:t>
      </w:r>
      <w:r w:rsidRPr="00BD0BB8">
        <w:t xml:space="preserve">to fill a vacancy shall be conducted by a series of votes of the Shareholders entitled to vote on such election, with each vacancy being filled by a separate resolution approved by a majority of the </w:t>
      </w:r>
      <w:r w:rsidR="00A1625F" w:rsidRPr="00BD0BB8">
        <w:t xml:space="preserve">Voting Rights </w:t>
      </w:r>
      <w:r w:rsidRPr="00BD0BB8">
        <w:t>exercised.</w:t>
      </w:r>
      <w:r w:rsidR="00A1625F" w:rsidRPr="00BD0BB8">
        <w:rPr>
          <w:rStyle w:val="FootnoteReference"/>
          <w:color w:val="auto"/>
        </w:rPr>
        <w:t xml:space="preserve"> </w:t>
      </w:r>
      <w:r w:rsidR="00A1625F" w:rsidRPr="00BD0BB8">
        <w:rPr>
          <w:rStyle w:val="FootnoteReference"/>
          <w:color w:val="auto"/>
        </w:rPr>
        <w:footnoteReference w:id="78"/>
      </w:r>
      <w:r w:rsidR="00A1625F" w:rsidRPr="00BD0BB8">
        <w:rPr>
          <w:rStyle w:val="FootnoteReference"/>
          <w:color w:val="auto"/>
        </w:rPr>
        <w:footnoteReference w:id="79"/>
      </w:r>
      <w:r w:rsidR="00A1625F" w:rsidRPr="00BD0BB8">
        <w:rPr>
          <w:rStyle w:val="FootnoteReference"/>
          <w:color w:val="auto"/>
        </w:rPr>
        <w:footnoteReference w:id="80"/>
      </w:r>
      <w:r w:rsidR="00A1625F" w:rsidRPr="00BD0BB8">
        <w:rPr>
          <w:rStyle w:val="FootnoteReference"/>
          <w:color w:val="auto"/>
        </w:rPr>
        <w:footnoteReference w:id="81"/>
      </w:r>
      <w:r w:rsidR="00A1625F" w:rsidRPr="00BD0BB8">
        <w:rPr>
          <w:rStyle w:val="FootnoteReference"/>
        </w:rPr>
        <w:footnoteReference w:id="82"/>
      </w:r>
    </w:p>
    <w:p w14:paraId="4D395C2B" w14:textId="77777777" w:rsidR="002F10A9" w:rsidRPr="00BD0BB8" w:rsidRDefault="002F10A9" w:rsidP="006A005A">
      <w:pPr>
        <w:pStyle w:val="DA2SecondLevel"/>
        <w:keepNext w:val="0"/>
        <w:widowControl w:val="0"/>
        <w:jc w:val="both"/>
      </w:pPr>
      <w:bookmarkStart w:id="165" w:name="_Ref179363760"/>
      <w:bookmarkStart w:id="166" w:name="_Ref447097387"/>
      <w:bookmarkStart w:id="167" w:name="_Ref279496236"/>
      <w:r w:rsidRPr="00BD0BB8">
        <w:t xml:space="preserve">A retiring Director shall act as a Director throughout the Meeting at which she/he retires. The length of time a Director has been in office shall be computed from the </w:t>
      </w:r>
      <w:r w:rsidRPr="00BD0BB8">
        <w:lastRenderedPageBreak/>
        <w:t>date of her/his last election. Retiring Directors shall be eligible for re</w:t>
      </w:r>
      <w:r w:rsidR="00740D87" w:rsidRPr="00BD0BB8">
        <w:t>-</w:t>
      </w:r>
      <w:r w:rsidRPr="00BD0BB8">
        <w:t>election.</w:t>
      </w:r>
    </w:p>
    <w:p w14:paraId="2C91BCDB" w14:textId="77777777" w:rsidR="002F10A9" w:rsidRPr="00BD0BB8" w:rsidRDefault="002F10A9" w:rsidP="006A005A">
      <w:pPr>
        <w:pStyle w:val="DA2SecondLevel"/>
        <w:keepNext w:val="0"/>
        <w:widowControl w:val="0"/>
        <w:jc w:val="both"/>
      </w:pPr>
      <w:r w:rsidRPr="00BD0BB8">
        <w:t>An Alternate Director shall serve in the place of 1 (one) or more Director/s named in the resolution electing her/him during the Director’s/s’ absence or inability to act as Director</w:t>
      </w:r>
      <w:r w:rsidR="00740D87" w:rsidRPr="00BD0BB8">
        <w:t>(s)</w:t>
      </w:r>
      <w:r w:rsidRPr="00BD0BB8">
        <w:t>. If a Person is an Alternate Director to more than 1 (one) Director or if an Alternate Director is also a Director, she/he shall have a separate vote, on behalf of each Director she/he is representing in addition to her/his own vote, if any.</w:t>
      </w:r>
    </w:p>
    <w:p w14:paraId="6E06F23A" w14:textId="77777777" w:rsidR="002F10A9" w:rsidRPr="00BD0BB8" w:rsidRDefault="002F10A9" w:rsidP="006A005A">
      <w:pPr>
        <w:pStyle w:val="DA2SecondLevel"/>
        <w:keepNext w:val="0"/>
        <w:widowControl w:val="0"/>
        <w:jc w:val="both"/>
      </w:pPr>
      <w:r w:rsidRPr="00BD0BB8">
        <w:t>There are no general qualifications prescribed by the Company for a Person to serve as a Director or an Alternate Director in addition to the requirements of the Act.</w:t>
      </w:r>
    </w:p>
    <w:p w14:paraId="1B877EA7" w14:textId="79F19E75" w:rsidR="00C251E5" w:rsidRPr="00BD0BB8" w:rsidRDefault="00C251E5" w:rsidP="006A005A">
      <w:pPr>
        <w:pStyle w:val="DA2SecondLevel"/>
        <w:keepNext w:val="0"/>
        <w:widowControl w:val="0"/>
        <w:jc w:val="both"/>
      </w:pPr>
      <w:r w:rsidRPr="00BD0BB8">
        <w:t>No Director shall be entitled to appoint any Person as an Alternate Director to himself.</w:t>
      </w:r>
    </w:p>
    <w:p w14:paraId="38128F94" w14:textId="774A208E" w:rsidR="0035646C" w:rsidRPr="00BD0BB8" w:rsidRDefault="00BF3AAB" w:rsidP="006A005A">
      <w:pPr>
        <w:pStyle w:val="DA2SecondLevel"/>
        <w:keepNext w:val="0"/>
        <w:widowControl w:val="0"/>
        <w:jc w:val="both"/>
        <w:rPr>
          <w:b/>
        </w:rPr>
      </w:pPr>
      <w:r w:rsidRPr="00BD0BB8">
        <w:t xml:space="preserve">Each of the Directors shall be elected (which in the case of a vacancy arising, shall take place at a Shareholders Meeting or by round robin resolution contemplated in clause </w:t>
      </w:r>
      <w:r w:rsidRPr="00BD0BB8">
        <w:fldChar w:fldCharType="begin"/>
      </w:r>
      <w:r w:rsidRPr="00BD0BB8">
        <w:instrText xml:space="preserve"> REF _Ref178873637 \r \h </w:instrText>
      </w:r>
      <w:r w:rsidR="00C407CA" w:rsidRPr="00BD0BB8">
        <w:instrText xml:space="preserve"> \* MERGEFORMAT </w:instrText>
      </w:r>
      <w:r w:rsidRPr="00BD0BB8">
        <w:fldChar w:fldCharType="separate"/>
      </w:r>
      <w:r w:rsidR="00633773">
        <w:t>16.2</w:t>
      </w:r>
      <w:r w:rsidRPr="00BD0BB8">
        <w:fldChar w:fldCharType="end"/>
      </w:r>
      <w:r w:rsidRPr="00BD0BB8">
        <w:t xml:space="preserve"> held or taken within 6 (six) months of the vacancy arising)</w:t>
      </w:r>
      <w:bookmarkStart w:id="168" w:name="_Ref179765163"/>
      <w:bookmarkEnd w:id="165"/>
      <w:r w:rsidR="00462C16" w:rsidRPr="00BD0BB8">
        <w:t>, in accordance with clause </w:t>
      </w:r>
      <w:bookmarkEnd w:id="166"/>
      <w:bookmarkEnd w:id="168"/>
      <w:r w:rsidR="000E1C4D" w:rsidRPr="00BD0BB8">
        <w:fldChar w:fldCharType="begin"/>
      </w:r>
      <w:r w:rsidR="000E1C4D" w:rsidRPr="00BD0BB8">
        <w:instrText xml:space="preserve"> REF _Ref209004888 \r \h </w:instrText>
      </w:r>
      <w:r w:rsidR="00BD0BB8" w:rsidRPr="00BD0BB8">
        <w:instrText xml:space="preserve"> \* MERGEFORMAT </w:instrText>
      </w:r>
      <w:r w:rsidR="000E1C4D" w:rsidRPr="00BD0BB8">
        <w:fldChar w:fldCharType="separate"/>
      </w:r>
      <w:r w:rsidR="00633773">
        <w:t>19.2</w:t>
      </w:r>
      <w:r w:rsidR="000E1C4D" w:rsidRPr="00BD0BB8">
        <w:fldChar w:fldCharType="end"/>
      </w:r>
      <w:r w:rsidR="00C84405" w:rsidRPr="00BD0BB8">
        <w:t>.</w:t>
      </w:r>
    </w:p>
    <w:bookmarkEnd w:id="167"/>
    <w:p w14:paraId="3B1B0279" w14:textId="2391D212" w:rsidR="00C84405" w:rsidRPr="00BD0BB8" w:rsidRDefault="00BF3AAB" w:rsidP="006A005A">
      <w:pPr>
        <w:pStyle w:val="DA2SecondLevel"/>
        <w:keepNext w:val="0"/>
        <w:widowControl w:val="0"/>
        <w:jc w:val="both"/>
        <w:rPr>
          <w:b/>
        </w:rPr>
      </w:pPr>
      <w:r w:rsidRPr="00BD0BB8">
        <w:t xml:space="preserve">Each Director elected or appointed in accordance with this clause </w:t>
      </w:r>
      <w:r w:rsidRPr="00BD0BB8">
        <w:fldChar w:fldCharType="begin"/>
      </w:r>
      <w:r w:rsidRPr="00BD0BB8">
        <w:instrText xml:space="preserve"> REF _Ref447097543 \r \h </w:instrText>
      </w:r>
      <w:r w:rsidR="00C407CA" w:rsidRPr="00BD0BB8">
        <w:instrText xml:space="preserve"> \* MERGEFORMAT </w:instrText>
      </w:r>
      <w:r w:rsidRPr="00BD0BB8">
        <w:fldChar w:fldCharType="separate"/>
      </w:r>
      <w:r w:rsidR="00633773">
        <w:t>19</w:t>
      </w:r>
      <w:r w:rsidRPr="00BD0BB8">
        <w:fldChar w:fldCharType="end"/>
      </w:r>
      <w:r w:rsidRPr="00BD0BB8">
        <w:t xml:space="preserve"> shall serve for an indefinite term</w:t>
      </w:r>
      <w:r w:rsidR="00E47314" w:rsidRPr="00BD0BB8">
        <w:t>, subject to the provisions of the Act pertaining to the cessation of office of a Director</w:t>
      </w:r>
      <w:r w:rsidRPr="00BD0BB8">
        <w:t>.</w:t>
      </w:r>
    </w:p>
    <w:p w14:paraId="163AB067" w14:textId="7ED81E06" w:rsidR="00C84405" w:rsidRPr="00BD0BB8" w:rsidRDefault="00BF3AAB" w:rsidP="006A005A">
      <w:pPr>
        <w:pStyle w:val="DA2SecondLevel"/>
        <w:keepNext w:val="0"/>
        <w:widowControl w:val="0"/>
        <w:jc w:val="both"/>
        <w:rPr>
          <w:b/>
        </w:rPr>
      </w:pPr>
      <w:r w:rsidRPr="00BD0BB8">
        <w:t xml:space="preserve">Notwithstanding anything to </w:t>
      </w:r>
      <w:r w:rsidR="00645542" w:rsidRPr="00BD0BB8">
        <w:t xml:space="preserve">the </w:t>
      </w:r>
      <w:r w:rsidRPr="00BD0BB8">
        <w:t xml:space="preserve">contrary contained in this clause </w:t>
      </w:r>
      <w:r w:rsidRPr="00BD0BB8">
        <w:fldChar w:fldCharType="begin"/>
      </w:r>
      <w:r w:rsidRPr="00BD0BB8">
        <w:instrText xml:space="preserve"> REF _Ref447097543 \r \h </w:instrText>
      </w:r>
      <w:r w:rsidR="00C407CA" w:rsidRPr="00BD0BB8">
        <w:instrText xml:space="preserve"> \* MERGEFORMAT </w:instrText>
      </w:r>
      <w:r w:rsidRPr="00BD0BB8">
        <w:fldChar w:fldCharType="separate"/>
      </w:r>
      <w:r w:rsidR="00633773">
        <w:t>19</w:t>
      </w:r>
      <w:r w:rsidRPr="00BD0BB8">
        <w:fldChar w:fldCharType="end"/>
      </w:r>
      <w:r w:rsidRPr="00BD0BB8">
        <w:t>, for all purposes, the Shareholders shall at all times be entitled to elect at least 50% (fifty percent) of the Directors to serve on the Board from time to time.</w:t>
      </w:r>
    </w:p>
    <w:p w14:paraId="648E2E17" w14:textId="6F64526F" w:rsidR="00462C16" w:rsidRPr="00BD0BB8" w:rsidRDefault="00BF3AAB" w:rsidP="006A005A">
      <w:pPr>
        <w:pStyle w:val="DA2SecondLevel"/>
        <w:keepNext w:val="0"/>
        <w:widowControl w:val="0"/>
        <w:jc w:val="both"/>
      </w:pPr>
      <w:r w:rsidRPr="00BD0BB8">
        <w:t>No Person shall be elected as a Director</w:t>
      </w:r>
      <w:r w:rsidR="001E47D5" w:rsidRPr="00BD0BB8">
        <w:t xml:space="preserve"> </w:t>
      </w:r>
      <w:r w:rsidRPr="00BD0BB8">
        <w:t>if he</w:t>
      </w:r>
      <w:r w:rsidR="00540101" w:rsidRPr="00BD0BB8">
        <w:t>/she</w:t>
      </w:r>
      <w:r w:rsidRPr="00BD0BB8">
        <w:t xml:space="preserve"> is Ineligible or Disqualified and any such election shall be a nullity. A Person who is Ineligible or Disqualified must not consent to be elected as a Director</w:t>
      </w:r>
      <w:r w:rsidR="001E47D5" w:rsidRPr="00BD0BB8">
        <w:t xml:space="preserve"> </w:t>
      </w:r>
      <w:r w:rsidRPr="00BD0BB8">
        <w:t xml:space="preserve">nor act as a Director. </w:t>
      </w:r>
      <w:r w:rsidR="00E86A71" w:rsidRPr="00BD0BB8">
        <w:rPr>
          <w:rStyle w:val="FootnoteReference"/>
          <w:color w:val="auto"/>
        </w:rPr>
        <w:footnoteReference w:id="83"/>
      </w:r>
      <w:r w:rsidRPr="00BD0BB8">
        <w:t>A Person placed under probation by a court must not serve as a Director</w:t>
      </w:r>
      <w:r w:rsidR="001E47D5" w:rsidRPr="00BD0BB8">
        <w:t xml:space="preserve"> </w:t>
      </w:r>
      <w:r w:rsidRPr="00BD0BB8">
        <w:t xml:space="preserve">unless </w:t>
      </w:r>
      <w:r w:rsidR="00473ABD" w:rsidRPr="00BD0BB8">
        <w:t xml:space="preserve">a valid </w:t>
      </w:r>
      <w:r w:rsidRPr="00BD0BB8">
        <w:t>order of</w:t>
      </w:r>
      <w:r w:rsidR="00473ABD" w:rsidRPr="00BD0BB8">
        <w:t xml:space="preserve"> a</w:t>
      </w:r>
      <w:r w:rsidRPr="00BD0BB8">
        <w:t xml:space="preserve"> court so permits.</w:t>
      </w:r>
      <w:r w:rsidR="00E86A71" w:rsidRPr="00BD0BB8">
        <w:rPr>
          <w:rStyle w:val="FootnoteReference"/>
          <w:color w:val="auto"/>
        </w:rPr>
        <w:footnoteReference w:id="84"/>
      </w:r>
    </w:p>
    <w:p w14:paraId="3D8B1DEB" w14:textId="4EA4E4CD" w:rsidR="002D7054" w:rsidRPr="00BD0BB8" w:rsidRDefault="00BF3AAB" w:rsidP="006A005A">
      <w:pPr>
        <w:pStyle w:val="DA2SecondLevel"/>
        <w:keepNext w:val="0"/>
        <w:widowControl w:val="0"/>
        <w:jc w:val="both"/>
      </w:pPr>
      <w:r w:rsidRPr="00BD0BB8">
        <w:t>No election of a Director shall take effect until he/she has delivered to the Company a Written consent to serve</w:t>
      </w:r>
      <w:r w:rsidR="000E082E" w:rsidRPr="00BD0BB8">
        <w:t xml:space="preserve"> in the capacity of a Director</w:t>
      </w:r>
      <w:r w:rsidRPr="00BD0BB8">
        <w:t>.</w:t>
      </w:r>
      <w:r w:rsidR="00E86A71" w:rsidRPr="00BD0BB8">
        <w:rPr>
          <w:rStyle w:val="FootnoteReference"/>
          <w:color w:val="auto"/>
        </w:rPr>
        <w:footnoteReference w:id="85"/>
      </w:r>
    </w:p>
    <w:p w14:paraId="1D0799FD" w14:textId="77777777" w:rsidR="00FF1EAF" w:rsidRPr="00BD0BB8" w:rsidRDefault="00BF3AAB" w:rsidP="006A005A">
      <w:pPr>
        <w:pStyle w:val="DA01"/>
      </w:pPr>
      <w:r w:rsidRPr="00BD0BB8">
        <w:t>Casual Vacancies</w:t>
      </w:r>
    </w:p>
    <w:p w14:paraId="47AB3BAD" w14:textId="387FB56F" w:rsidR="00462C16" w:rsidRPr="00BD0BB8" w:rsidRDefault="00BF3AAB" w:rsidP="006A005A">
      <w:pPr>
        <w:pStyle w:val="DA2SecondLevel"/>
        <w:keepNext w:val="0"/>
        <w:widowControl w:val="0"/>
        <w:jc w:val="both"/>
        <w:rPr>
          <w:b/>
        </w:rPr>
      </w:pPr>
      <w:bookmarkStart w:id="169" w:name="_Ref255725174"/>
      <w:bookmarkStart w:id="170" w:name="_Ref256584722"/>
      <w:bookmarkStart w:id="171" w:name="_Ref279489236"/>
      <w:r w:rsidRPr="00BD0BB8">
        <w:lastRenderedPageBreak/>
        <w:t xml:space="preserve">Any casual vacancy occurring on the Board may be filled by the Board, </w:t>
      </w:r>
      <w:bookmarkEnd w:id="169"/>
      <w:bookmarkEnd w:id="170"/>
      <w:r w:rsidRPr="00BD0BB8">
        <w:t>but the Individual so appointed shall cease to hold office at the termination of the first Shareholders Meeting to be held after the appointment of such Individual as a Director unless he</w:t>
      </w:r>
      <w:r w:rsidR="00540101" w:rsidRPr="00BD0BB8">
        <w:t>/she</w:t>
      </w:r>
      <w:r w:rsidRPr="00BD0BB8">
        <w:t xml:space="preserve"> is elected at such Shareholders Meeting.</w:t>
      </w:r>
      <w:bookmarkEnd w:id="171"/>
      <w:r w:rsidR="00B12518" w:rsidRPr="00BD0BB8">
        <w:rPr>
          <w:rStyle w:val="FootnoteReference"/>
          <w:color w:val="auto"/>
        </w:rPr>
        <w:footnoteReference w:id="86"/>
      </w:r>
    </w:p>
    <w:p w14:paraId="0F1D419B" w14:textId="77777777" w:rsidR="00462C16" w:rsidRPr="00BD0BB8" w:rsidRDefault="00BF3AAB" w:rsidP="006A005A">
      <w:pPr>
        <w:pStyle w:val="DA2SecondLevel"/>
        <w:keepNext w:val="0"/>
        <w:widowControl w:val="0"/>
        <w:jc w:val="both"/>
      </w:pPr>
      <w:bookmarkStart w:id="172" w:name="_Ref255469157"/>
      <w:r w:rsidRPr="00BD0BB8">
        <w:t>The continuing Directors (or sole continuing Director) may act notwithstanding any vacancy in their body, but, if and so long as their number is reduced below the number fixed by or pursuant to this MOI as a quorum, the continuing Director</w:t>
      </w:r>
      <w:r w:rsidR="00121A7F" w:rsidRPr="00BD0BB8">
        <w:t>(</w:t>
      </w:r>
      <w:r w:rsidRPr="00BD0BB8">
        <w:t>s</w:t>
      </w:r>
      <w:r w:rsidR="00121A7F" w:rsidRPr="00BD0BB8">
        <w:t>)</w:t>
      </w:r>
      <w:r w:rsidRPr="00BD0BB8">
        <w:t xml:space="preserve"> may act only for the purpose of summoning a Shareholders Meeting or filling vacancies not later than 3 (three) months from the date that the number </w:t>
      </w:r>
      <w:r w:rsidR="00FF1EAF" w:rsidRPr="00BD0BB8">
        <w:t xml:space="preserve">of Directors </w:t>
      </w:r>
      <w:r w:rsidRPr="00BD0BB8">
        <w:t>falls below the minimum.</w:t>
      </w:r>
    </w:p>
    <w:p w14:paraId="706A7E0B" w14:textId="4558EE68" w:rsidR="00BE6E3F" w:rsidRPr="00BD0BB8" w:rsidRDefault="00BF3AAB" w:rsidP="006A005A">
      <w:pPr>
        <w:pStyle w:val="DA2SecondLevel"/>
        <w:keepNext w:val="0"/>
        <w:widowControl w:val="0"/>
        <w:jc w:val="both"/>
      </w:pPr>
      <w:r w:rsidRPr="00BD0BB8">
        <w:t>If there is no Director able and willing to act, then any Holder entitled to exercise Voting Rights in the election of a Director may convene a Shareholders Meeting for the purpose of appointing Directors.</w:t>
      </w:r>
      <w:r w:rsidR="00B12518" w:rsidRPr="00BD0BB8">
        <w:rPr>
          <w:rStyle w:val="FootnoteReference"/>
          <w:color w:val="auto"/>
        </w:rPr>
        <w:footnoteReference w:id="87"/>
      </w:r>
      <w:bookmarkStart w:id="173" w:name="_Ref256592059"/>
      <w:bookmarkStart w:id="174" w:name="_Toc256693272"/>
      <w:bookmarkStart w:id="175" w:name="_Toc256693504"/>
      <w:bookmarkStart w:id="176" w:name="_Toc256693650"/>
      <w:bookmarkStart w:id="177" w:name="_Toc256695190"/>
      <w:bookmarkStart w:id="178" w:name="_Toc256695506"/>
      <w:bookmarkStart w:id="179" w:name="_Ref255725224"/>
      <w:bookmarkStart w:id="180" w:name="_Toc256693266"/>
      <w:bookmarkStart w:id="181" w:name="_Toc256693498"/>
      <w:bookmarkStart w:id="182" w:name="_Toc256693644"/>
      <w:bookmarkStart w:id="183" w:name="_Toc256695184"/>
      <w:bookmarkStart w:id="184" w:name="_Toc256695500"/>
      <w:bookmarkEnd w:id="172"/>
    </w:p>
    <w:p w14:paraId="407268AD" w14:textId="6041971A" w:rsidR="00462C16" w:rsidRPr="00BD0BB8" w:rsidRDefault="00BF3AAB" w:rsidP="006A005A">
      <w:pPr>
        <w:pStyle w:val="DA1FirstLevelHeading"/>
        <w:keepNext w:val="0"/>
        <w:widowControl w:val="0"/>
        <w:jc w:val="both"/>
      </w:pPr>
      <w:r w:rsidRPr="00BD0BB8">
        <w:t>CESSATION OF OFFICE AS DIRECTOR</w:t>
      </w:r>
      <w:bookmarkEnd w:id="173"/>
      <w:bookmarkEnd w:id="174"/>
      <w:bookmarkEnd w:id="175"/>
      <w:bookmarkEnd w:id="176"/>
      <w:bookmarkEnd w:id="177"/>
      <w:bookmarkEnd w:id="178"/>
      <w:r w:rsidR="00C251E5" w:rsidRPr="00BD0BB8">
        <w:t xml:space="preserve"> </w:t>
      </w:r>
      <w:r w:rsidR="00B12518" w:rsidRPr="00BD0BB8">
        <w:rPr>
          <w:rStyle w:val="FootnoteReference"/>
          <w:color w:val="auto"/>
        </w:rPr>
        <w:footnoteReference w:id="88"/>
      </w:r>
      <w:r w:rsidR="00C251E5" w:rsidRPr="00BD0BB8">
        <w:t>or alternate director</w:t>
      </w:r>
    </w:p>
    <w:p w14:paraId="00269848" w14:textId="3859DED4" w:rsidR="00462C16" w:rsidRPr="00BD0BB8" w:rsidRDefault="00BF3AAB" w:rsidP="006A005A">
      <w:pPr>
        <w:pStyle w:val="DA2SecondLevel"/>
        <w:keepNext w:val="0"/>
        <w:widowControl w:val="0"/>
        <w:jc w:val="both"/>
      </w:pPr>
      <w:r w:rsidRPr="00BD0BB8">
        <w:t>A Director</w:t>
      </w:r>
      <w:r w:rsidR="00C251E5" w:rsidRPr="00BD0BB8">
        <w:t xml:space="preserve"> or Alternate Director</w:t>
      </w:r>
      <w:r w:rsidRPr="00BD0BB8">
        <w:t xml:space="preserve"> shall cease to hold office as such</w:t>
      </w:r>
      <w:r w:rsidR="00361032" w:rsidRPr="00BD0BB8">
        <w:rPr>
          <w:color w:val="auto"/>
        </w:rPr>
        <w:t xml:space="preserve"> </w:t>
      </w:r>
      <w:r w:rsidR="00B12518" w:rsidRPr="00BD0BB8">
        <w:rPr>
          <w:rStyle w:val="FootnoteReference"/>
          <w:color w:val="auto"/>
        </w:rPr>
        <w:footnoteReference w:id="89"/>
      </w:r>
      <w:r w:rsidR="00D22DD7" w:rsidRPr="00BD0BB8">
        <w:t>:</w:t>
      </w:r>
    </w:p>
    <w:p w14:paraId="63ACB70E" w14:textId="77777777" w:rsidR="00C251E5" w:rsidRPr="00BD0BB8" w:rsidRDefault="00C251E5" w:rsidP="006A005A">
      <w:pPr>
        <w:pStyle w:val="Heading3"/>
        <w:keepNext w:val="0"/>
        <w:keepLines w:val="0"/>
        <w:widowControl w:val="0"/>
      </w:pPr>
      <w:r w:rsidRPr="00BD0BB8">
        <w:t>if the Shareholder who appointed him disposes of all of its Shares or the requisite part which entitles the Shareholder in question to appoint directors. In that case, the Shareholder shall remove any directors of the Company appointed by it as directors of the Company, without any claims for compensation for loss of office:</w:t>
      </w:r>
    </w:p>
    <w:p w14:paraId="73F77711" w14:textId="77777777" w:rsidR="00C251E5" w:rsidRPr="00BD0BB8" w:rsidRDefault="00C251E5" w:rsidP="006A005A">
      <w:pPr>
        <w:pStyle w:val="DA4ThirdLevelNumbering"/>
        <w:rPr>
          <w:rFonts w:cs="Arial"/>
          <w:szCs w:val="22"/>
        </w:rPr>
      </w:pPr>
      <w:r w:rsidRPr="00BD0BB8">
        <w:rPr>
          <w:rFonts w:cs="Arial"/>
          <w:szCs w:val="22"/>
        </w:rPr>
        <w:t>if such Shares are acquired by other Shareholders in the Company, on payment in full of the purchase price by those purchasing Shareholders; or</w:t>
      </w:r>
    </w:p>
    <w:p w14:paraId="779FAD60" w14:textId="77777777" w:rsidR="00C251E5" w:rsidRPr="00BD0BB8" w:rsidRDefault="00C251E5" w:rsidP="006A005A">
      <w:pPr>
        <w:pStyle w:val="DA4ThirdLevelNumbering"/>
        <w:rPr>
          <w:rFonts w:cs="Arial"/>
          <w:szCs w:val="22"/>
        </w:rPr>
      </w:pPr>
      <w:r w:rsidRPr="00BD0BB8">
        <w:rPr>
          <w:rFonts w:cs="Arial"/>
          <w:szCs w:val="22"/>
        </w:rPr>
        <w:t>if such Shares are to be acquired by a third party, on implementation of the sale agreement with the third party,</w:t>
      </w:r>
    </w:p>
    <w:p w14:paraId="43CB32C9" w14:textId="77777777" w:rsidR="00C251E5" w:rsidRPr="00BD0BB8" w:rsidRDefault="00C251E5" w:rsidP="006A005A">
      <w:pPr>
        <w:pStyle w:val="Heading3"/>
        <w:keepNext w:val="0"/>
        <w:keepLines w:val="0"/>
        <w:widowControl w:val="0"/>
      </w:pPr>
      <w:r w:rsidRPr="00BD0BB8">
        <w:t xml:space="preserve">and the Shareholder which appointed such directors indemnifies the Company if the directors are not so removed and/or have any claims for </w:t>
      </w:r>
      <w:r w:rsidRPr="00BD0BB8">
        <w:lastRenderedPageBreak/>
        <w:t>compensation against the Company for loss of office;</w:t>
      </w:r>
    </w:p>
    <w:p w14:paraId="65682D0C" w14:textId="14F5C244" w:rsidR="00C251E5" w:rsidRPr="00BD0BB8" w:rsidRDefault="00C251E5" w:rsidP="006A005A">
      <w:pPr>
        <w:pStyle w:val="Heading3"/>
        <w:keepNext w:val="0"/>
        <w:keepLines w:val="0"/>
        <w:widowControl w:val="0"/>
      </w:pPr>
      <w:r w:rsidRPr="00BD0BB8">
        <w:t>immediately upon becoming Ineligible or Disqualified or the Board resolves to remove her/him on such basis</w:t>
      </w:r>
      <w:r w:rsidR="00361032" w:rsidRPr="00BD0BB8">
        <w:t xml:space="preserve"> </w:t>
      </w:r>
      <w:r w:rsidR="00B12518" w:rsidRPr="00BD0BB8">
        <w:rPr>
          <w:rStyle w:val="FootnoteReference"/>
        </w:rPr>
        <w:footnoteReference w:id="90"/>
      </w:r>
      <w:r w:rsidR="00197DA9" w:rsidRPr="00BD0BB8">
        <w:t>;</w:t>
      </w:r>
      <w:r w:rsidRPr="00BD0BB8">
        <w:t>, and in the latter case the Director / Alternate Director has not within the permitted period filed an application for review or has filed such an application but the court has not yet confirmed the removal (during which period she/he shall be suspended);</w:t>
      </w:r>
    </w:p>
    <w:p w14:paraId="68951201" w14:textId="7FBEE804" w:rsidR="00C251E5" w:rsidRPr="00BD0BB8" w:rsidRDefault="00C251E5" w:rsidP="006A005A">
      <w:pPr>
        <w:pStyle w:val="Heading3"/>
        <w:keepNext w:val="0"/>
        <w:keepLines w:val="0"/>
        <w:widowControl w:val="0"/>
      </w:pPr>
      <w:r w:rsidRPr="00BD0BB8">
        <w:t>when his</w:t>
      </w:r>
      <w:r w:rsidR="00564ED6" w:rsidRPr="00BD0BB8">
        <w:t>/her</w:t>
      </w:r>
      <w:r w:rsidRPr="00BD0BB8">
        <w:t xml:space="preserve"> term of office expires;</w:t>
      </w:r>
    </w:p>
    <w:p w14:paraId="39E098BD" w14:textId="77777777" w:rsidR="00462C16" w:rsidRPr="00BD0BB8" w:rsidRDefault="00BF3AAB" w:rsidP="006A005A">
      <w:pPr>
        <w:pStyle w:val="Heading3"/>
        <w:keepNext w:val="0"/>
        <w:keepLines w:val="0"/>
        <w:widowControl w:val="0"/>
      </w:pPr>
      <w:r w:rsidRPr="00BD0BB8">
        <w:t>when he</w:t>
      </w:r>
      <w:r w:rsidR="00540101" w:rsidRPr="00BD0BB8">
        <w:t>/she</w:t>
      </w:r>
      <w:r w:rsidRPr="00BD0BB8">
        <w:t xml:space="preserve"> dies;</w:t>
      </w:r>
    </w:p>
    <w:p w14:paraId="78506578" w14:textId="0EFF360A" w:rsidR="00462C16" w:rsidRPr="00BD0BB8" w:rsidRDefault="00BF3AAB" w:rsidP="006A005A">
      <w:pPr>
        <w:pStyle w:val="Heading3"/>
        <w:keepNext w:val="0"/>
        <w:keepLines w:val="0"/>
        <w:widowControl w:val="0"/>
      </w:pPr>
      <w:r w:rsidRPr="00BD0BB8">
        <w:t>when he</w:t>
      </w:r>
      <w:r w:rsidR="00540101" w:rsidRPr="00BD0BB8">
        <w:t>/she</w:t>
      </w:r>
      <w:r w:rsidRPr="00BD0BB8">
        <w:t xml:space="preserve"> resigns by Written notice to the Company</w:t>
      </w:r>
      <w:r w:rsidR="00B12518" w:rsidRPr="00BD0BB8">
        <w:t xml:space="preserve"> </w:t>
      </w:r>
      <w:r w:rsidR="00B12518" w:rsidRPr="00BD0BB8">
        <w:rPr>
          <w:rStyle w:val="FootnoteReference"/>
        </w:rPr>
        <w:footnoteReference w:id="91"/>
      </w:r>
      <w:r w:rsidRPr="00BD0BB8">
        <w:t>;</w:t>
      </w:r>
    </w:p>
    <w:p w14:paraId="3F51B27E" w14:textId="47AB765D" w:rsidR="00C251E5" w:rsidRPr="00BD0BB8" w:rsidRDefault="00C251E5" w:rsidP="006A005A">
      <w:pPr>
        <w:pStyle w:val="Heading3"/>
        <w:keepNext w:val="0"/>
        <w:keepLines w:val="0"/>
        <w:widowControl w:val="0"/>
      </w:pPr>
      <w:r w:rsidRPr="00BD0BB8">
        <w:t>if there are more than 3 (three) Directors in office and if the Board determines that he/</w:t>
      </w:r>
      <w:r w:rsidR="00564ED6" w:rsidRPr="00BD0BB8">
        <w:t>s</w:t>
      </w:r>
      <w:r w:rsidRPr="00BD0BB8">
        <w:t>he has become incapacitated to the extent that the Person is unable to perform the functions of a director, and is unlikely to regain that capacity within a reasonable time</w:t>
      </w:r>
      <w:r w:rsidR="00B12518" w:rsidRPr="00BD0BB8">
        <w:rPr>
          <w:rStyle w:val="FootnoteReference"/>
        </w:rPr>
        <w:footnoteReference w:id="92"/>
      </w:r>
      <w:r w:rsidR="00197DA9" w:rsidRPr="00BD0BB8">
        <w:t>;</w:t>
      </w:r>
      <w:r w:rsidRPr="00BD0BB8">
        <w:t>, and the Director / Alternate Director has not within the permitted period filed an application for review or has filed such an application but the court has not yet confirmed the removal (during which period she/he shall be suspended);</w:t>
      </w:r>
    </w:p>
    <w:p w14:paraId="3C395607" w14:textId="77777777" w:rsidR="0077375A" w:rsidRPr="00BD0BB8" w:rsidRDefault="00BF3AAB" w:rsidP="006A005A">
      <w:pPr>
        <w:pStyle w:val="Heading3"/>
        <w:keepNext w:val="0"/>
        <w:keepLines w:val="0"/>
        <w:widowControl w:val="0"/>
      </w:pPr>
      <w:r w:rsidRPr="00BD0BB8">
        <w:t>if he</w:t>
      </w:r>
      <w:r w:rsidR="00540101" w:rsidRPr="00BD0BB8">
        <w:t>/she</w:t>
      </w:r>
      <w:r w:rsidRPr="00BD0BB8">
        <w:t xml:space="preserve"> is convicted of any </w:t>
      </w:r>
      <w:r w:rsidR="00F17795" w:rsidRPr="00BD0BB8">
        <w:t>offence in terms of any national legislation</w:t>
      </w:r>
      <w:r w:rsidRPr="00BD0BB8">
        <w:t>;</w:t>
      </w:r>
    </w:p>
    <w:p w14:paraId="7EA6249A" w14:textId="77777777" w:rsidR="0077375A" w:rsidRPr="00BD0BB8" w:rsidRDefault="00BF3AAB" w:rsidP="006A005A">
      <w:pPr>
        <w:pStyle w:val="Heading3"/>
        <w:keepNext w:val="0"/>
        <w:keepLines w:val="0"/>
        <w:widowControl w:val="0"/>
      </w:pPr>
      <w:r w:rsidRPr="00BD0BB8">
        <w:t>if he</w:t>
      </w:r>
      <w:r w:rsidR="00540101" w:rsidRPr="00BD0BB8">
        <w:t>/she</w:t>
      </w:r>
      <w:r w:rsidRPr="00BD0BB8">
        <w:t xml:space="preserve"> becomes involved in any business, scheme, operation, whether as employee, director, shareholder, member, consultant or otherwise, </w:t>
      </w:r>
      <w:r w:rsidR="00796E7E" w:rsidRPr="00BD0BB8">
        <w:t>that undertakes or is involved in activities that are competit</w:t>
      </w:r>
      <w:r w:rsidR="00E4797F" w:rsidRPr="00BD0BB8">
        <w:t>i</w:t>
      </w:r>
      <w:r w:rsidR="00796E7E" w:rsidRPr="00BD0BB8">
        <w:t xml:space="preserve">ve to those of the </w:t>
      </w:r>
      <w:r w:rsidR="00121A7F" w:rsidRPr="00BD0BB8">
        <w:t>Company</w:t>
      </w:r>
      <w:r w:rsidR="00796E7E" w:rsidRPr="00BD0BB8">
        <w:t>;</w:t>
      </w:r>
    </w:p>
    <w:p w14:paraId="46D734E3" w14:textId="17E8B5F0" w:rsidR="00462C16" w:rsidRPr="00BD0BB8" w:rsidRDefault="00BF3AAB" w:rsidP="006A005A">
      <w:pPr>
        <w:pStyle w:val="Heading3"/>
        <w:keepNext w:val="0"/>
        <w:keepLines w:val="0"/>
        <w:widowControl w:val="0"/>
      </w:pPr>
      <w:r w:rsidRPr="00BD0BB8">
        <w:t>if he</w:t>
      </w:r>
      <w:r w:rsidR="00540101" w:rsidRPr="00BD0BB8">
        <w:t>/she</w:t>
      </w:r>
      <w:r w:rsidRPr="00BD0BB8">
        <w:t xml:space="preserve"> is declared delinquent by a court, or placed on probation under conditions that are inconsistent with continuing to be a </w:t>
      </w:r>
      <w:r w:rsidR="002C6A4D" w:rsidRPr="00BD0BB8">
        <w:t>D</w:t>
      </w:r>
      <w:r w:rsidRPr="00BD0BB8">
        <w:t xml:space="preserve">irector of the </w:t>
      </w:r>
      <w:r w:rsidR="004C1F22" w:rsidRPr="00BD0BB8">
        <w:t>Company</w:t>
      </w:r>
      <w:r w:rsidR="00B12518" w:rsidRPr="00BD0BB8">
        <w:rPr>
          <w:rStyle w:val="FootnoteReference"/>
        </w:rPr>
        <w:footnoteReference w:id="93"/>
      </w:r>
      <w:r w:rsidRPr="00BD0BB8">
        <w:t>;</w:t>
      </w:r>
    </w:p>
    <w:p w14:paraId="4914B591" w14:textId="41ABD8F2" w:rsidR="00462C16" w:rsidRPr="00BD0BB8" w:rsidRDefault="00BF3AAB" w:rsidP="006A005A">
      <w:pPr>
        <w:pStyle w:val="Heading3"/>
        <w:keepNext w:val="0"/>
        <w:keepLines w:val="0"/>
        <w:widowControl w:val="0"/>
      </w:pPr>
      <w:r w:rsidRPr="00BD0BB8">
        <w:t>if he</w:t>
      </w:r>
      <w:r w:rsidR="00540101" w:rsidRPr="00BD0BB8">
        <w:t>/she</w:t>
      </w:r>
      <w:r w:rsidRPr="00BD0BB8">
        <w:t xml:space="preserve"> is removed by Ordinary Resolution</w:t>
      </w:r>
      <w:r w:rsidR="00B12518" w:rsidRPr="00BD0BB8">
        <w:t xml:space="preserve"> in terms</w:t>
      </w:r>
      <w:r w:rsidR="00361032" w:rsidRPr="00BD0BB8">
        <w:t xml:space="preserve"> of Section 71 </w:t>
      </w:r>
      <w:r w:rsidR="00361032" w:rsidRPr="00BD0BB8">
        <w:rPr>
          <w:rStyle w:val="FootnoteReference"/>
        </w:rPr>
        <w:footnoteReference w:id="94"/>
      </w:r>
      <w:r w:rsidRPr="00BD0BB8">
        <w:t>;</w:t>
      </w:r>
    </w:p>
    <w:p w14:paraId="3A8651FE" w14:textId="77777777" w:rsidR="00462C16" w:rsidRPr="00BD0BB8" w:rsidRDefault="00BF3AAB" w:rsidP="006A005A">
      <w:pPr>
        <w:pStyle w:val="Heading3"/>
        <w:keepNext w:val="0"/>
        <w:keepLines w:val="0"/>
        <w:widowControl w:val="0"/>
      </w:pPr>
      <w:r w:rsidRPr="00BD0BB8">
        <w:t>if there are more than 3 (three) Directors in office and if he</w:t>
      </w:r>
      <w:r w:rsidR="00540101" w:rsidRPr="00BD0BB8">
        <w:t>/she</w:t>
      </w:r>
      <w:r w:rsidRPr="00BD0BB8">
        <w:t xml:space="preserve"> is removed by resolution of the Board for being negligent or derelict in performing the </w:t>
      </w:r>
      <w:r w:rsidRPr="00BD0BB8">
        <w:lastRenderedPageBreak/>
        <w:t>functions of a Director;</w:t>
      </w:r>
    </w:p>
    <w:p w14:paraId="4E0460B4" w14:textId="77777777" w:rsidR="00462C16" w:rsidRPr="00BD0BB8" w:rsidRDefault="00BF3AAB" w:rsidP="006A005A">
      <w:pPr>
        <w:pStyle w:val="Heading3"/>
        <w:keepNext w:val="0"/>
        <w:keepLines w:val="0"/>
        <w:widowControl w:val="0"/>
      </w:pPr>
      <w:bookmarkStart w:id="185" w:name="_Ref255460245"/>
      <w:r w:rsidRPr="00BD0BB8">
        <w:t>he</w:t>
      </w:r>
      <w:r w:rsidR="00540101" w:rsidRPr="00BD0BB8">
        <w:t>/she</w:t>
      </w:r>
      <w:r w:rsidRPr="00BD0BB8">
        <w:t xml:space="preserve"> files a petition for the surrender of his</w:t>
      </w:r>
      <w:r w:rsidR="002C6A4D" w:rsidRPr="00BD0BB8">
        <w:t>/her</w:t>
      </w:r>
      <w:r w:rsidRPr="00BD0BB8">
        <w:t xml:space="preserve"> estate or an application for an administration order, or if he</w:t>
      </w:r>
      <w:r w:rsidR="00540101" w:rsidRPr="00BD0BB8">
        <w:t>/she</w:t>
      </w:r>
      <w:r w:rsidRPr="00BD0BB8">
        <w:t xml:space="preserve"> commits an act of insolvency as defined in the insolvency law for the time being in force, or if he</w:t>
      </w:r>
      <w:r w:rsidR="00540101" w:rsidRPr="00BD0BB8">
        <w:t>/she</w:t>
      </w:r>
      <w:r w:rsidRPr="00BD0BB8">
        <w:t xml:space="preserve"> makes any arrangement or composition with his</w:t>
      </w:r>
      <w:r w:rsidR="002C6A4D" w:rsidRPr="00BD0BB8">
        <w:t>/her</w:t>
      </w:r>
      <w:r w:rsidRPr="00BD0BB8">
        <w:t xml:space="preserve"> creditors generally;</w:t>
      </w:r>
      <w:bookmarkEnd w:id="185"/>
    </w:p>
    <w:p w14:paraId="18FEB4A8" w14:textId="77777777" w:rsidR="00462C16" w:rsidRPr="00BD0BB8" w:rsidRDefault="00645542" w:rsidP="006A005A">
      <w:pPr>
        <w:pStyle w:val="Heading3"/>
        <w:keepNext w:val="0"/>
        <w:keepLines w:val="0"/>
        <w:widowControl w:val="0"/>
      </w:pPr>
      <w:bookmarkStart w:id="186" w:name="_Ref255460588"/>
      <w:r w:rsidRPr="00BD0BB8">
        <w:t xml:space="preserve">if </w:t>
      </w:r>
      <w:r w:rsidR="00BF3AAB" w:rsidRPr="00BD0BB8">
        <w:t>he</w:t>
      </w:r>
      <w:r w:rsidR="00540101" w:rsidRPr="00BD0BB8">
        <w:t>/she</w:t>
      </w:r>
      <w:r w:rsidR="00BF3AAB" w:rsidRPr="00BD0BB8">
        <w:t xml:space="preserve"> is otherwise removed in accordance with any provisions of this MOI;</w:t>
      </w:r>
      <w:bookmarkEnd w:id="186"/>
    </w:p>
    <w:p w14:paraId="7E654DA5" w14:textId="77777777" w:rsidR="00462C16" w:rsidRPr="00BD0BB8" w:rsidRDefault="00645542" w:rsidP="006A005A">
      <w:pPr>
        <w:pStyle w:val="Heading3"/>
        <w:keepNext w:val="0"/>
        <w:keepLines w:val="0"/>
        <w:widowControl w:val="0"/>
      </w:pPr>
      <w:r w:rsidRPr="00BD0BB8">
        <w:t xml:space="preserve">if </w:t>
      </w:r>
      <w:r w:rsidR="00BF3AAB" w:rsidRPr="00BD0BB8">
        <w:t>he</w:t>
      </w:r>
      <w:r w:rsidR="00540101" w:rsidRPr="00BD0BB8">
        <w:t>/she</w:t>
      </w:r>
      <w:r w:rsidR="00BF3AAB" w:rsidRPr="00BD0BB8">
        <w:t xml:space="preserve"> becomes of unsound mind;</w:t>
      </w:r>
    </w:p>
    <w:p w14:paraId="0F60B120" w14:textId="77777777" w:rsidR="00462C16" w:rsidRPr="00BD0BB8" w:rsidRDefault="00645542" w:rsidP="006A005A">
      <w:pPr>
        <w:pStyle w:val="Heading3"/>
        <w:keepNext w:val="0"/>
        <w:keepLines w:val="0"/>
        <w:widowControl w:val="0"/>
      </w:pPr>
      <w:r w:rsidRPr="00BD0BB8">
        <w:t xml:space="preserve">if </w:t>
      </w:r>
      <w:r w:rsidR="00BF3AAB" w:rsidRPr="00BD0BB8">
        <w:t>he</w:t>
      </w:r>
      <w:r w:rsidR="00540101" w:rsidRPr="00BD0BB8">
        <w:t>/she</w:t>
      </w:r>
      <w:r w:rsidR="00BF3AAB" w:rsidRPr="00BD0BB8">
        <w:t xml:space="preserve"> absents himself from the meetings of </w:t>
      </w:r>
      <w:r w:rsidR="005B2225" w:rsidRPr="00BD0BB8">
        <w:t>the Directors for a period of 6 </w:t>
      </w:r>
      <w:r w:rsidR="00BF3AAB" w:rsidRPr="00BD0BB8">
        <w:t xml:space="preserve">(six) months without special leave of absence from the Board, and the Board resolves that his office be vacated; </w:t>
      </w:r>
      <w:r w:rsidR="00F76C1E" w:rsidRPr="00BD0BB8">
        <w:t>and/</w:t>
      </w:r>
      <w:r w:rsidR="00BF3AAB" w:rsidRPr="00BD0BB8">
        <w:t>or</w:t>
      </w:r>
    </w:p>
    <w:p w14:paraId="0B77C79C" w14:textId="66CB62C4" w:rsidR="00B23C9E" w:rsidRPr="00BD0BB8" w:rsidRDefault="00645542" w:rsidP="006A005A">
      <w:pPr>
        <w:pStyle w:val="Heading3"/>
        <w:keepNext w:val="0"/>
        <w:keepLines w:val="0"/>
        <w:widowControl w:val="0"/>
      </w:pPr>
      <w:bookmarkStart w:id="187" w:name="_Ref189023112"/>
      <w:r w:rsidRPr="00BD0BB8">
        <w:t xml:space="preserve">if </w:t>
      </w:r>
      <w:r w:rsidR="00BF3AAB" w:rsidRPr="00BD0BB8">
        <w:t>he</w:t>
      </w:r>
      <w:r w:rsidR="00540101" w:rsidRPr="00BD0BB8">
        <w:t>/she</w:t>
      </w:r>
      <w:r w:rsidR="00BF3AAB" w:rsidRPr="00BD0BB8">
        <w:t xml:space="preserve"> is a Director by virtue of his</w:t>
      </w:r>
      <w:r w:rsidR="002C6A4D" w:rsidRPr="00BD0BB8">
        <w:t>/her</w:t>
      </w:r>
      <w:r w:rsidR="00BF3AAB" w:rsidRPr="00BD0BB8">
        <w:t xml:space="preserve"> employment with the Company or any other company in the group of companies of which the Company forms part, and his</w:t>
      </w:r>
      <w:r w:rsidR="002C6A4D" w:rsidRPr="00BD0BB8">
        <w:t>/her</w:t>
      </w:r>
      <w:r w:rsidR="00BF3AAB" w:rsidRPr="00BD0BB8">
        <w:t xml:space="preserve"> employment ceases.</w:t>
      </w:r>
      <w:bookmarkStart w:id="188" w:name="_Toc256693268"/>
      <w:bookmarkStart w:id="189" w:name="_Toc256693500"/>
      <w:bookmarkStart w:id="190" w:name="_Toc256693646"/>
      <w:bookmarkStart w:id="191" w:name="_Toc256695186"/>
      <w:bookmarkStart w:id="192" w:name="_Toc256695502"/>
      <w:bookmarkEnd w:id="179"/>
      <w:bookmarkEnd w:id="180"/>
      <w:bookmarkEnd w:id="181"/>
      <w:bookmarkEnd w:id="182"/>
      <w:bookmarkEnd w:id="183"/>
      <w:bookmarkEnd w:id="184"/>
      <w:bookmarkEnd w:id="187"/>
      <w:r w:rsidR="00361032" w:rsidRPr="00BD0BB8">
        <w:rPr>
          <w:rStyle w:val="FootnoteReference"/>
        </w:rPr>
        <w:footnoteReference w:id="95"/>
      </w:r>
    </w:p>
    <w:p w14:paraId="0D315AE1" w14:textId="77777777" w:rsidR="00462C16" w:rsidRPr="00BD0BB8" w:rsidRDefault="00BF3AAB" w:rsidP="006A005A">
      <w:pPr>
        <w:pStyle w:val="DA1FirstLevelHeading"/>
        <w:keepNext w:val="0"/>
        <w:widowControl w:val="0"/>
        <w:jc w:val="both"/>
      </w:pPr>
      <w:r w:rsidRPr="00BD0BB8">
        <w:t>REMUNERATION OF DIRECTORS</w:t>
      </w:r>
      <w:bookmarkEnd w:id="188"/>
      <w:bookmarkEnd w:id="189"/>
      <w:bookmarkEnd w:id="190"/>
      <w:bookmarkEnd w:id="191"/>
      <w:bookmarkEnd w:id="192"/>
      <w:r w:rsidR="001E47D5" w:rsidRPr="00BD0BB8">
        <w:t xml:space="preserve"> </w:t>
      </w:r>
      <w:r w:rsidRPr="00BD0BB8">
        <w:t>AND MEMBERS OF BOARD COMMITTEES</w:t>
      </w:r>
    </w:p>
    <w:p w14:paraId="39782DD9" w14:textId="77777777" w:rsidR="00C4444F" w:rsidRPr="00BD0BB8" w:rsidRDefault="00BF3AAB" w:rsidP="006A005A">
      <w:pPr>
        <w:pStyle w:val="DA01"/>
      </w:pPr>
      <w:bookmarkStart w:id="193" w:name="_Ref255725284"/>
      <w:bookmarkStart w:id="194" w:name="_Ref256585901"/>
      <w:r w:rsidRPr="00BD0BB8">
        <w:t>Remuneration</w:t>
      </w:r>
    </w:p>
    <w:p w14:paraId="5283BBF1" w14:textId="5911EF3E" w:rsidR="00121A7F" w:rsidRPr="00BD0BB8" w:rsidRDefault="00BF3AAB" w:rsidP="006A005A">
      <w:pPr>
        <w:pStyle w:val="DA2SecondLevel"/>
        <w:keepNext w:val="0"/>
        <w:widowControl w:val="0"/>
        <w:jc w:val="both"/>
      </w:pPr>
      <w:r w:rsidRPr="00BD0BB8">
        <w:t xml:space="preserve">The Directors </w:t>
      </w:r>
      <w:r w:rsidR="001E47D5" w:rsidRPr="00BD0BB8">
        <w:t xml:space="preserve">or </w:t>
      </w:r>
      <w:r w:rsidRPr="00BD0BB8">
        <w:t xml:space="preserve">members of Board committees shall be entitled to such remuneration for their services as Directors </w:t>
      </w:r>
      <w:r w:rsidR="001E47D5" w:rsidRPr="00BD0BB8">
        <w:t xml:space="preserve">or </w:t>
      </w:r>
      <w:r w:rsidRPr="00BD0BB8">
        <w:t>members of Board Committees</w:t>
      </w:r>
      <w:r w:rsidR="00EE2934" w:rsidRPr="00BD0BB8">
        <w:rPr>
          <w:rStyle w:val="FootnoteReference"/>
          <w:color w:val="auto"/>
        </w:rPr>
        <w:footnoteReference w:id="96"/>
      </w:r>
      <w:r w:rsidRPr="00BD0BB8">
        <w:t xml:space="preserve"> as may have been determined from time to time by Special Resolution wit</w:t>
      </w:r>
      <w:r w:rsidR="00EF5412" w:rsidRPr="00BD0BB8">
        <w:t>hin the previous 2 (two) years.</w:t>
      </w:r>
      <w:r w:rsidR="00EE2934" w:rsidRPr="00BD0BB8">
        <w:rPr>
          <w:rStyle w:val="FootnoteReference"/>
          <w:color w:val="auto"/>
        </w:rPr>
        <w:footnoteReference w:id="97"/>
      </w:r>
    </w:p>
    <w:p w14:paraId="22CDEBC9" w14:textId="77777777" w:rsidR="008678E6" w:rsidRPr="00BD0BB8" w:rsidRDefault="00BF3AAB" w:rsidP="006A005A">
      <w:pPr>
        <w:pStyle w:val="DA01"/>
      </w:pPr>
      <w:r w:rsidRPr="00BD0BB8">
        <w:t>Expenses</w:t>
      </w:r>
    </w:p>
    <w:p w14:paraId="50DB52B0" w14:textId="33A826C6" w:rsidR="00462C16" w:rsidRPr="00BD0BB8" w:rsidRDefault="006E2979" w:rsidP="006A005A">
      <w:pPr>
        <w:pStyle w:val="DA2SecondLevel"/>
        <w:keepNext w:val="0"/>
        <w:widowControl w:val="0"/>
        <w:jc w:val="both"/>
      </w:pPr>
      <w:r w:rsidRPr="00BA2908">
        <w:t>[</w:t>
      </w:r>
      <w:r w:rsidR="00BA2908" w:rsidRPr="00BA2908">
        <w:rPr>
          <w:b/>
        </w:rPr>
        <w:t xml:space="preserve">To </w:t>
      </w:r>
      <w:r w:rsidRPr="00BA2908">
        <w:rPr>
          <w:b/>
        </w:rPr>
        <w:t>be confirmed – Director rights to expenses</w:t>
      </w:r>
      <w:r w:rsidR="00BA2908">
        <w:rPr>
          <w:b/>
        </w:rPr>
        <w:t>]</w:t>
      </w:r>
      <w:r w:rsidR="00BF3AAB" w:rsidRPr="00BD0BB8">
        <w:t>In addition, the Directors shall be entitled to all reasonable expenses in travelling (including hotels) to and from meetings of the Directors and Holders, and the members of Board committees shall be entitled to all reasonable expenses in travelling (including hotels) to and from meetings of the members of Board committees</w:t>
      </w:r>
      <w:r w:rsidR="001A1519" w:rsidRPr="00BD0BB8">
        <w:t>,</w:t>
      </w:r>
      <w:r w:rsidR="00BF3AAB" w:rsidRPr="00BD0BB8">
        <w:t xml:space="preserve"> as determined by a disinterested quorum of Directors.</w:t>
      </w:r>
    </w:p>
    <w:p w14:paraId="09000D85" w14:textId="77777777" w:rsidR="00573B79" w:rsidRPr="00BD0BB8" w:rsidRDefault="00BF3AAB" w:rsidP="006A005A">
      <w:pPr>
        <w:pStyle w:val="DA2SecondLevel"/>
        <w:keepNext w:val="0"/>
        <w:widowControl w:val="0"/>
        <w:jc w:val="both"/>
      </w:pPr>
      <w:r w:rsidRPr="00BD0BB8">
        <w:lastRenderedPageBreak/>
        <w:t xml:space="preserve">A Director may be employed in any other capacity in the Company or as a director or employee of a company controlled by, or itself a </w:t>
      </w:r>
      <w:r w:rsidR="00D649E4" w:rsidRPr="00BD0BB8">
        <w:t xml:space="preserve">Subsidiary </w:t>
      </w:r>
      <w:r w:rsidRPr="00BD0BB8">
        <w:t>of, the Company and in that event, his</w:t>
      </w:r>
      <w:r w:rsidR="002C6A4D" w:rsidRPr="00BD0BB8">
        <w:t>/her</w:t>
      </w:r>
      <w:r w:rsidRPr="00BD0BB8">
        <w:t xml:space="preserve"> appointment and remuneration in respect of such other office must be determined by a disinterested quorum of Directors.</w:t>
      </w:r>
      <w:bookmarkEnd w:id="193"/>
      <w:bookmarkEnd w:id="194"/>
    </w:p>
    <w:p w14:paraId="62136A27" w14:textId="77777777" w:rsidR="00462C16" w:rsidRPr="00BD0BB8" w:rsidRDefault="00BF3AAB" w:rsidP="006A005A">
      <w:pPr>
        <w:pStyle w:val="DA1FirstLevelHeading"/>
        <w:keepNext w:val="0"/>
        <w:widowControl w:val="0"/>
        <w:jc w:val="both"/>
      </w:pPr>
      <w:r w:rsidRPr="00BD0BB8">
        <w:t>FINANCIAL ASSISTANCE FOR DIRECTORS AND PRESCRIBED OFFICERS AND THEIR RELATED AND INTER</w:t>
      </w:r>
      <w:r w:rsidRPr="00BD0BB8">
        <w:noBreakHyphen/>
        <w:t>RELATED PARTIES</w:t>
      </w:r>
    </w:p>
    <w:p w14:paraId="1DDC34E9" w14:textId="562A4A9D" w:rsidR="00462C16" w:rsidRPr="00BD0BB8" w:rsidRDefault="00BF3AAB" w:rsidP="006A005A">
      <w:pPr>
        <w:pStyle w:val="DA2SecondLevel"/>
        <w:keepNext w:val="0"/>
        <w:widowControl w:val="0"/>
        <w:jc w:val="both"/>
      </w:pPr>
      <w:r w:rsidRPr="00BD0BB8">
        <w:t>The Board</w:t>
      </w:r>
      <w:r w:rsidR="002C6A4D" w:rsidRPr="00BD0BB8">
        <w:t>'</w:t>
      </w:r>
      <w:r w:rsidRPr="00BD0BB8">
        <w:t xml:space="preserve">s powers to provide direct or indirect financial assistance as contemplated in section 45(2) </w:t>
      </w:r>
      <w:r w:rsidR="008E3110" w:rsidRPr="00BD0BB8">
        <w:t xml:space="preserve">of the </w:t>
      </w:r>
      <w:r w:rsidR="0050570C" w:rsidRPr="00BD0BB8">
        <w:t>Act</w:t>
      </w:r>
      <w:r w:rsidR="008E3110" w:rsidRPr="00BD0BB8">
        <w:t xml:space="preserve"> </w:t>
      </w:r>
      <w:r w:rsidRPr="00BD0BB8">
        <w:t>are not limited in any manner.</w:t>
      </w:r>
      <w:r w:rsidR="00EE2934" w:rsidRPr="00BD0BB8">
        <w:rPr>
          <w:rStyle w:val="FootnoteReference"/>
          <w:color w:val="auto"/>
        </w:rPr>
        <w:footnoteReference w:id="98"/>
      </w:r>
      <w:bookmarkStart w:id="195" w:name="_Ref256525282"/>
    </w:p>
    <w:p w14:paraId="23E680D9" w14:textId="77777777" w:rsidR="00A45C9A" w:rsidRPr="00BD0BB8" w:rsidRDefault="00BF3AAB" w:rsidP="006A005A">
      <w:pPr>
        <w:pStyle w:val="DA2SecondLevel"/>
        <w:keepNext w:val="0"/>
        <w:widowControl w:val="0"/>
        <w:jc w:val="both"/>
      </w:pPr>
      <w:r w:rsidRPr="00BD0BB8">
        <w:t>The Board may not authorise any financial assistance contemplated in section 45(2) of the Act, unless:</w:t>
      </w:r>
    </w:p>
    <w:p w14:paraId="5CE9D321" w14:textId="77777777" w:rsidR="00A45C9A" w:rsidRPr="00BD0BB8" w:rsidRDefault="00BF3AAB" w:rsidP="006A005A">
      <w:pPr>
        <w:pStyle w:val="Heading3"/>
        <w:keepNext w:val="0"/>
        <w:keepLines w:val="0"/>
        <w:widowControl w:val="0"/>
      </w:pPr>
      <w:r w:rsidRPr="00BD0BB8">
        <w:t>the particular provision of financial assistance is pursuant to:</w:t>
      </w:r>
    </w:p>
    <w:p w14:paraId="11559213" w14:textId="77777777" w:rsidR="00A45C9A" w:rsidRPr="00BA2908" w:rsidRDefault="00BF3AAB" w:rsidP="006A005A">
      <w:pPr>
        <w:pStyle w:val="DA4ThirdLevelNumbering"/>
        <w:rPr>
          <w:rFonts w:cs="Arial"/>
          <w:szCs w:val="22"/>
        </w:rPr>
      </w:pPr>
      <w:r w:rsidRPr="00BA2908">
        <w:rPr>
          <w:rFonts w:cs="Arial"/>
          <w:szCs w:val="22"/>
        </w:rPr>
        <w:t>an employee share scheme that satisfies the requirements of section 97 of the Act; or</w:t>
      </w:r>
    </w:p>
    <w:p w14:paraId="1AD1AAC3" w14:textId="77777777" w:rsidR="00A45C9A" w:rsidRPr="00BD0BB8" w:rsidRDefault="00BF3AAB" w:rsidP="006A005A">
      <w:pPr>
        <w:pStyle w:val="DA4ThirdLevelNumbering"/>
        <w:rPr>
          <w:rFonts w:cs="Arial"/>
          <w:szCs w:val="22"/>
        </w:rPr>
      </w:pPr>
      <w:r w:rsidRPr="00BD0BB8">
        <w:rPr>
          <w:rFonts w:cs="Arial"/>
          <w:szCs w:val="22"/>
        </w:rPr>
        <w:t>a Special Resolution adopted within the previous 2 (two) years which approved such financial assistance either for the specific recipient, or generally for a category of potential recipients, and the specific recipient falls within that category; and</w:t>
      </w:r>
    </w:p>
    <w:p w14:paraId="7890B5BB" w14:textId="77777777" w:rsidR="00A45C9A" w:rsidRPr="00BD0BB8" w:rsidRDefault="00BF3AAB" w:rsidP="006A005A">
      <w:pPr>
        <w:pStyle w:val="Heading3"/>
        <w:keepNext w:val="0"/>
        <w:keepLines w:val="0"/>
        <w:widowControl w:val="0"/>
      </w:pPr>
      <w:r w:rsidRPr="00BD0BB8">
        <w:t>the Board is satisfied that:</w:t>
      </w:r>
    </w:p>
    <w:p w14:paraId="6298BE4B" w14:textId="77777777" w:rsidR="00A45C9A" w:rsidRPr="00BD0BB8" w:rsidRDefault="00BF3AAB" w:rsidP="006A005A">
      <w:pPr>
        <w:pStyle w:val="DA4ThirdLevelNumbering"/>
        <w:rPr>
          <w:rFonts w:cs="Arial"/>
          <w:szCs w:val="22"/>
        </w:rPr>
      </w:pPr>
      <w:r w:rsidRPr="00BD0BB8">
        <w:rPr>
          <w:rFonts w:cs="Arial"/>
          <w:szCs w:val="22"/>
        </w:rPr>
        <w:t>immediately after providing the financial assistance the Company would satisfy the Solvency and Liquidity Test; and</w:t>
      </w:r>
    </w:p>
    <w:p w14:paraId="18C92ABA" w14:textId="77777777" w:rsidR="00A45C9A" w:rsidRPr="00BD0BB8" w:rsidRDefault="00BF3AAB" w:rsidP="006A005A">
      <w:pPr>
        <w:pStyle w:val="DA4ThirdLevelNumbering"/>
        <w:rPr>
          <w:rFonts w:cs="Arial"/>
          <w:szCs w:val="22"/>
        </w:rPr>
      </w:pPr>
      <w:r w:rsidRPr="00BD0BB8">
        <w:rPr>
          <w:rFonts w:cs="Arial"/>
          <w:szCs w:val="22"/>
        </w:rPr>
        <w:t>the terms under which the financial assistance is proposed to be given are fair and reasonable to the Company.</w:t>
      </w:r>
    </w:p>
    <w:bookmarkEnd w:id="195"/>
    <w:p w14:paraId="7878CF20" w14:textId="77777777" w:rsidR="00462C16" w:rsidRPr="00BD0BB8" w:rsidRDefault="00BF3AAB" w:rsidP="006A005A">
      <w:pPr>
        <w:pStyle w:val="DA2SecondLevel"/>
        <w:keepNext w:val="0"/>
        <w:widowControl w:val="0"/>
        <w:jc w:val="both"/>
      </w:pPr>
      <w:r w:rsidRPr="00BD0BB8">
        <w:t xml:space="preserve">If the Board adopts a resolution as contemplated in section 45(2) of the </w:t>
      </w:r>
      <w:r w:rsidR="0050570C" w:rsidRPr="00BD0BB8">
        <w:t>Act</w:t>
      </w:r>
      <w:r w:rsidRPr="00BD0BB8">
        <w:t xml:space="preserve"> regarding financial assistance to the Directors and others contemplated in that section, the Company shall Deliver</w:t>
      </w:r>
      <w:r w:rsidR="001A1519" w:rsidRPr="00BD0BB8">
        <w:t xml:space="preserve"> to all Shareholders</w:t>
      </w:r>
      <w:r w:rsidRPr="00BD0BB8">
        <w:t xml:space="preserve"> notice in Writing of that resolution</w:t>
      </w:r>
      <w:r w:rsidR="001A1519" w:rsidRPr="00BD0BB8">
        <w:t>,</w:t>
      </w:r>
      <w:r w:rsidRPr="00BD0BB8">
        <w:t xml:space="preserve"> unless </w:t>
      </w:r>
      <w:r w:rsidRPr="00BD0BB8">
        <w:lastRenderedPageBreak/>
        <w:t>every Shareholder is also a Director</w:t>
      </w:r>
      <w:r w:rsidR="00D22DD7" w:rsidRPr="00BD0BB8">
        <w:t>:</w:t>
      </w:r>
    </w:p>
    <w:p w14:paraId="4DAEE93F" w14:textId="77777777" w:rsidR="00462C16" w:rsidRPr="00BD0BB8" w:rsidRDefault="00BF3AAB" w:rsidP="006A005A">
      <w:pPr>
        <w:pStyle w:val="Heading3"/>
        <w:keepNext w:val="0"/>
        <w:keepLines w:val="0"/>
        <w:widowControl w:val="0"/>
      </w:pPr>
      <w:r w:rsidRPr="00BD0BB8">
        <w:t xml:space="preserve">within 10 (ten) Business Days after the Board adopts the </w:t>
      </w:r>
      <w:r w:rsidRPr="00BD0BB8">
        <w:rPr>
          <w:lang w:val="en-US"/>
        </w:rPr>
        <w:t>resolution</w:t>
      </w:r>
      <w:r w:rsidRPr="00BD0BB8">
        <w:t>, if the total value of all loans, debts, obligations or assistance contemplated in that resolution, together with any previous such resolution during the financial year, exceeds 1/10</w:t>
      </w:r>
      <w:r w:rsidRPr="00BD0BB8">
        <w:rPr>
          <w:vertAlign w:val="superscript"/>
        </w:rPr>
        <w:t>th</w:t>
      </w:r>
      <w:r w:rsidRPr="00BD0BB8">
        <w:t> (one tenth) of 1% (one percent) of the Company’s net worth at the time of the resolution; or</w:t>
      </w:r>
    </w:p>
    <w:p w14:paraId="4A370202" w14:textId="26B5AA2E" w:rsidR="00CF3EE2" w:rsidRPr="00BD0BB8" w:rsidRDefault="00BF3AAB" w:rsidP="006A005A">
      <w:pPr>
        <w:pStyle w:val="Heading3"/>
        <w:keepNext w:val="0"/>
        <w:keepLines w:val="0"/>
        <w:widowControl w:val="0"/>
      </w:pPr>
      <w:r w:rsidRPr="00BD0BB8">
        <w:t>within 30 (thirty) Business Days after the end of the financial year, in any other case.</w:t>
      </w:r>
      <w:r w:rsidR="00EE2934" w:rsidRPr="00BD0BB8">
        <w:rPr>
          <w:rStyle w:val="FootnoteReference"/>
        </w:rPr>
        <w:footnoteReference w:id="99"/>
      </w:r>
      <w:bookmarkStart w:id="196" w:name="_Toc256693271"/>
      <w:bookmarkStart w:id="197" w:name="_Toc256693503"/>
      <w:bookmarkStart w:id="198" w:name="_Toc256693649"/>
      <w:bookmarkStart w:id="199" w:name="_Toc256695189"/>
      <w:bookmarkStart w:id="200" w:name="_Toc256695505"/>
      <w:bookmarkStart w:id="201" w:name="_Ref179010300"/>
    </w:p>
    <w:p w14:paraId="3B54E4B0" w14:textId="4FBE9F08" w:rsidR="0056349B" w:rsidRPr="00BD0BB8" w:rsidRDefault="007A0C2A" w:rsidP="006A005A">
      <w:pPr>
        <w:pStyle w:val="DA1FirstLevelHeading"/>
        <w:keepNext w:val="0"/>
        <w:widowControl w:val="0"/>
        <w:jc w:val="both"/>
      </w:pPr>
      <w:bookmarkStart w:id="202" w:name="_Ref209006932"/>
      <w:bookmarkStart w:id="203" w:name="_Ref529193759"/>
      <w:r w:rsidRPr="00BD0BB8">
        <w:t>SHAREHOLDER PROTECTIVE MATTERS</w:t>
      </w:r>
      <w:bookmarkEnd w:id="202"/>
    </w:p>
    <w:p w14:paraId="603CDCBB" w14:textId="08820875" w:rsidR="00A1625F" w:rsidRPr="00BD0BB8" w:rsidRDefault="00A1625F" w:rsidP="006A005A">
      <w:pPr>
        <w:pStyle w:val="DA2SecondLevel"/>
        <w:keepNext w:val="0"/>
        <w:widowControl w:val="0"/>
        <w:jc w:val="both"/>
      </w:pPr>
      <w:r w:rsidRPr="00BD0BB8">
        <w:t xml:space="preserve">Notwithstanding any other provision in this </w:t>
      </w:r>
      <w:r w:rsidR="0020169E">
        <w:t>MOI</w:t>
      </w:r>
      <w:r w:rsidRPr="00BD0BB8">
        <w:t xml:space="preserve"> or the general powers granted to the Board and the Shareholders under the Companies Act, the Company is restricted from performing certain actions without obtaining specific prior approvals. These actions, and the required approvals, are set out in full in Annexure B and are categorised as:</w:t>
      </w:r>
    </w:p>
    <w:p w14:paraId="2FD5F420" w14:textId="0F7E5EDC" w:rsidR="00A1625F" w:rsidRPr="00BD0BB8" w:rsidRDefault="00A1625F" w:rsidP="006A005A">
      <w:pPr>
        <w:pStyle w:val="Heading3"/>
        <w:keepNext w:val="0"/>
        <w:keepLines w:val="0"/>
        <w:widowControl w:val="0"/>
      </w:pPr>
      <w:r w:rsidRPr="00BD0BB8">
        <w:t>Shareholder Reserved Matters, which require the written consent of a majority of the</w:t>
      </w:r>
      <w:r w:rsidR="007E5EF0" w:rsidRPr="00BD0BB8">
        <w:t xml:space="preserve"> Holder</w:t>
      </w:r>
      <w:r w:rsidRPr="00BD0BB8">
        <w:t xml:space="preserve">s of the </w:t>
      </w:r>
      <w:r w:rsidR="006314B6">
        <w:t>Preference</w:t>
      </w:r>
      <w:r w:rsidRPr="00BD0BB8">
        <w:t xml:space="preserve"> Shares; and</w:t>
      </w:r>
    </w:p>
    <w:p w14:paraId="1B7FF5F0" w14:textId="161B8770" w:rsidR="00A1625F" w:rsidRPr="00BD0BB8" w:rsidRDefault="00A1625F" w:rsidP="006A005A">
      <w:pPr>
        <w:pStyle w:val="Heading3"/>
        <w:keepNext w:val="0"/>
        <w:keepLines w:val="0"/>
        <w:widowControl w:val="0"/>
      </w:pPr>
      <w:r w:rsidRPr="00BD0BB8">
        <w:t>Board Reserved Matters, which require the affirmative vote of the Preference Share Director.</w:t>
      </w:r>
    </w:p>
    <w:p w14:paraId="2350F2AC" w14:textId="74A29D80" w:rsidR="00A1625F" w:rsidRPr="00BD0BB8" w:rsidRDefault="00A1625F" w:rsidP="006A005A">
      <w:pPr>
        <w:pStyle w:val="DA2SecondLevel"/>
        <w:keepNext w:val="0"/>
        <w:widowControl w:val="0"/>
        <w:jc w:val="both"/>
      </w:pPr>
      <w:r w:rsidRPr="00BD0BB8">
        <w:t xml:space="preserve">The powers of the Board under section 66(1) of the Act are limited accordingly. Any action taken in contravention of the provisions of Annexure B shall be void. </w:t>
      </w:r>
    </w:p>
    <w:p w14:paraId="15D33C32" w14:textId="77777777" w:rsidR="00F94521" w:rsidRPr="00BD0BB8" w:rsidRDefault="00F94521" w:rsidP="006A005A">
      <w:pPr>
        <w:pStyle w:val="DA2SecondLevel"/>
        <w:keepNext w:val="0"/>
        <w:widowControl w:val="0"/>
        <w:jc w:val="both"/>
      </w:pPr>
      <w:r w:rsidRPr="00BD0BB8">
        <w:t>The Board may from time to time appoint one or more of the Directors to the office of chief executive officer and/or managing director or manager for such period and at such remuneration (whether by way of salary or commission, or participation in profits or partly in one way and partly in another) and generally on such terms they may think fit, and it may be made a term of his/her appointment that he/she be paid a pension, gratuity or other benefit on his/her retirement from office.</w:t>
      </w:r>
    </w:p>
    <w:p w14:paraId="63B90D00" w14:textId="689C842B" w:rsidR="00F94521" w:rsidRPr="00BD0BB8" w:rsidRDefault="00F94521" w:rsidP="006A005A">
      <w:pPr>
        <w:pStyle w:val="DA2SecondLevel"/>
        <w:keepNext w:val="0"/>
        <w:widowControl w:val="0"/>
        <w:jc w:val="both"/>
      </w:pPr>
      <w:bookmarkStart w:id="204" w:name="_Ref80788364"/>
      <w:r w:rsidRPr="00BD0BB8">
        <w:t xml:space="preserve">The Board may from time to time entrust to and confer upon a managing Director or manager for the time being such of the powers vested in the Directors as they may think fit, and may confer such powers for such time and to be exercised for such </w:t>
      </w:r>
      <w:r w:rsidRPr="00BD0BB8">
        <w:lastRenderedPageBreak/>
        <w:t xml:space="preserve">objects and upon such terms and with such restrictions as they may think expedient and they may confer such powers either collaterally or to the exclusion of, and in substitution for, all or any of the powers of the Directors, and may from time to time revoke or vary all or any of such powers. A managing Director appointed pursuant to the provisions of this clause </w:t>
      </w:r>
      <w:r w:rsidRPr="00BD0BB8">
        <w:fldChar w:fldCharType="begin"/>
      </w:r>
      <w:r w:rsidRPr="00BD0BB8">
        <w:instrText xml:space="preserve"> REF _Ref80788364 \r \h  \* MERGEFORMAT </w:instrText>
      </w:r>
      <w:r w:rsidRPr="00BD0BB8">
        <w:fldChar w:fldCharType="separate"/>
      </w:r>
      <w:r w:rsidR="00633773">
        <w:t>23.4</w:t>
      </w:r>
      <w:r w:rsidRPr="00BD0BB8">
        <w:fldChar w:fldCharType="end"/>
      </w:r>
      <w:r w:rsidRPr="00BD0BB8">
        <w:t xml:space="preserve"> shall not be regarded as an agent or delegate of the Directors and after powers have been conferred upon him/her by the Board in terms of this clause </w:t>
      </w:r>
      <w:r w:rsidRPr="00BD0BB8">
        <w:fldChar w:fldCharType="begin"/>
      </w:r>
      <w:r w:rsidRPr="00BD0BB8">
        <w:instrText xml:space="preserve"> REF _Ref80788364 \r \h  \* MERGEFORMAT </w:instrText>
      </w:r>
      <w:r w:rsidRPr="00BD0BB8">
        <w:fldChar w:fldCharType="separate"/>
      </w:r>
      <w:r w:rsidR="00633773">
        <w:t>23.4</w:t>
      </w:r>
      <w:r w:rsidRPr="00BD0BB8">
        <w:fldChar w:fldCharType="end"/>
      </w:r>
      <w:r w:rsidRPr="00BD0BB8">
        <w:t xml:space="preserve"> he/she shall be deemed to derive such powers directly from this clause </w:t>
      </w:r>
      <w:r w:rsidRPr="00BD0BB8">
        <w:fldChar w:fldCharType="begin"/>
      </w:r>
      <w:r w:rsidRPr="00BD0BB8">
        <w:instrText xml:space="preserve"> REF _Ref80788364 \r \h  \* MERGEFORMAT </w:instrText>
      </w:r>
      <w:r w:rsidRPr="00BD0BB8">
        <w:fldChar w:fldCharType="separate"/>
      </w:r>
      <w:r w:rsidR="00633773">
        <w:t>23.4</w:t>
      </w:r>
      <w:r w:rsidRPr="00BD0BB8">
        <w:fldChar w:fldCharType="end"/>
      </w:r>
      <w:r w:rsidRPr="00BD0BB8">
        <w:t>.</w:t>
      </w:r>
      <w:bookmarkEnd w:id="204"/>
    </w:p>
    <w:p w14:paraId="0B5564E8" w14:textId="77777777" w:rsidR="00462C16" w:rsidRPr="00BD0BB8" w:rsidRDefault="00BF3AAB" w:rsidP="006A005A">
      <w:pPr>
        <w:pStyle w:val="DA1FirstLevelHeading"/>
        <w:keepNext w:val="0"/>
        <w:widowControl w:val="0"/>
        <w:jc w:val="both"/>
      </w:pPr>
      <w:bookmarkStart w:id="205" w:name="_Ref255851592"/>
      <w:bookmarkEnd w:id="196"/>
      <w:bookmarkEnd w:id="197"/>
      <w:bookmarkEnd w:id="198"/>
      <w:bookmarkEnd w:id="199"/>
      <w:bookmarkEnd w:id="200"/>
      <w:bookmarkEnd w:id="201"/>
      <w:bookmarkEnd w:id="203"/>
      <w:r w:rsidRPr="00BD0BB8">
        <w:t>BOARD COMMITTEES</w:t>
      </w:r>
      <w:r w:rsidR="00E904F1" w:rsidRPr="00BD0BB8">
        <w:t xml:space="preserve"> </w:t>
      </w:r>
    </w:p>
    <w:p w14:paraId="660CD3FF" w14:textId="3BBED111" w:rsidR="007B1E2E" w:rsidRPr="00BD0BB8" w:rsidRDefault="00BF3AAB" w:rsidP="006A005A">
      <w:pPr>
        <w:pStyle w:val="DA2SecondLevel"/>
        <w:keepNext w:val="0"/>
        <w:widowControl w:val="0"/>
        <w:jc w:val="both"/>
      </w:pPr>
      <w:bookmarkStart w:id="206" w:name="_Ref179010480"/>
      <w:r w:rsidRPr="00BD0BB8">
        <w:t>The Directors may appoint any number of Board committees and delegate to such committees any authority of the Board.</w:t>
      </w:r>
      <w:bookmarkEnd w:id="205"/>
      <w:bookmarkEnd w:id="206"/>
      <w:r w:rsidR="00592CD3" w:rsidRPr="00BD0BB8">
        <w:rPr>
          <w:rStyle w:val="FootnoteReference"/>
          <w:color w:val="auto"/>
        </w:rPr>
        <w:footnoteReference w:id="100"/>
      </w:r>
    </w:p>
    <w:p w14:paraId="152DD4ED" w14:textId="358C04C0" w:rsidR="00462C16" w:rsidRPr="00BD0BB8" w:rsidRDefault="00BF3AAB" w:rsidP="006A005A">
      <w:pPr>
        <w:pStyle w:val="DA2SecondLevel"/>
        <w:keepNext w:val="0"/>
        <w:widowControl w:val="0"/>
        <w:jc w:val="both"/>
      </w:pPr>
      <w:r w:rsidRPr="00BD0BB8">
        <w:t xml:space="preserve">The members of </w:t>
      </w:r>
      <w:r w:rsidR="004930C3" w:rsidRPr="00BD0BB8">
        <w:t xml:space="preserve">any </w:t>
      </w:r>
      <w:r w:rsidRPr="00BD0BB8">
        <w:t xml:space="preserve">committees </w:t>
      </w:r>
      <w:r w:rsidR="004930C3" w:rsidRPr="00BD0BB8">
        <w:t xml:space="preserve">contemplated in clause </w:t>
      </w:r>
      <w:r w:rsidR="001A1519" w:rsidRPr="00BD0BB8">
        <w:fldChar w:fldCharType="begin"/>
      </w:r>
      <w:r w:rsidR="001A1519" w:rsidRPr="00BD0BB8">
        <w:instrText xml:space="preserve"> REF _Ref179010480 \r \h </w:instrText>
      </w:r>
      <w:r w:rsidR="00C407CA" w:rsidRPr="00BD0BB8">
        <w:instrText xml:space="preserve"> \* MERGEFORMAT </w:instrText>
      </w:r>
      <w:r w:rsidR="001A1519" w:rsidRPr="00BD0BB8">
        <w:fldChar w:fldCharType="separate"/>
      </w:r>
      <w:r w:rsidR="00633773">
        <w:t>24.1</w:t>
      </w:r>
      <w:r w:rsidR="001A1519" w:rsidRPr="00BD0BB8">
        <w:fldChar w:fldCharType="end"/>
      </w:r>
      <w:r w:rsidR="004930C3" w:rsidRPr="00BD0BB8">
        <w:t xml:space="preserve"> </w:t>
      </w:r>
      <w:r w:rsidRPr="00BD0BB8">
        <w:t>may</w:t>
      </w:r>
      <w:r w:rsidRPr="00BD0BB8">
        <w:rPr>
          <w:vertAlign w:val="superscript"/>
        </w:rPr>
        <w:t xml:space="preserve"> </w:t>
      </w:r>
      <w:r w:rsidRPr="00BD0BB8">
        <w:t xml:space="preserve">include Persons who are not Directors </w:t>
      </w:r>
      <w:r w:rsidR="001A1519" w:rsidRPr="00BD0BB8">
        <w:t>(</w:t>
      </w:r>
      <w:r w:rsidRPr="00BD0BB8">
        <w:t>as long as they are not Ineligible or Disqualified to be Directors</w:t>
      </w:r>
      <w:r w:rsidR="001A1519" w:rsidRPr="00BD0BB8">
        <w:t>)</w:t>
      </w:r>
      <w:r w:rsidRPr="00BD0BB8">
        <w:t xml:space="preserve"> who shall not be able to vote.</w:t>
      </w:r>
      <w:r w:rsidR="00592CD3" w:rsidRPr="00BD0BB8">
        <w:rPr>
          <w:rStyle w:val="FootnoteReference"/>
          <w:color w:val="auto"/>
        </w:rPr>
        <w:footnoteReference w:id="101"/>
      </w:r>
    </w:p>
    <w:p w14:paraId="1A4E422B" w14:textId="77777777" w:rsidR="00462C16" w:rsidRPr="00BD0BB8" w:rsidRDefault="00BF3AAB" w:rsidP="006A005A">
      <w:pPr>
        <w:pStyle w:val="DA2SecondLevel"/>
        <w:keepNext w:val="0"/>
        <w:widowControl w:val="0"/>
        <w:jc w:val="both"/>
      </w:pPr>
      <w:bookmarkStart w:id="207" w:name="_Ref255851122"/>
      <w:r w:rsidRPr="00BD0BB8">
        <w:t>No Person shall be appointed as a member of a Board committee, if he</w:t>
      </w:r>
      <w:r w:rsidR="00540101" w:rsidRPr="00BD0BB8">
        <w:t>/she</w:t>
      </w:r>
      <w:r w:rsidRPr="00BD0BB8">
        <w:t xml:space="preserve"> is Ineligible or Disqualified and any such </w:t>
      </w:r>
      <w:r w:rsidR="001A1519" w:rsidRPr="00BD0BB8">
        <w:t>appointment shall be a nullity.</w:t>
      </w:r>
      <w:r w:rsidRPr="00BD0BB8">
        <w:t xml:space="preserve"> A Person who is Ineligible or Disqualified must not consent to be appointed as a member of a Board committee</w:t>
      </w:r>
      <w:r w:rsidR="001A1519" w:rsidRPr="00BD0BB8">
        <w:t>,</w:t>
      </w:r>
      <w:r w:rsidRPr="00BD0BB8">
        <w:t xml:space="preserve"> nor act as such a member. A Person placed under probation by a court must not serve as a member of a Board committee unless the order of court so permits.</w:t>
      </w:r>
    </w:p>
    <w:p w14:paraId="474D3CB2" w14:textId="77777777" w:rsidR="00462C16" w:rsidRPr="00BD0BB8" w:rsidRDefault="00BF3AAB" w:rsidP="006A005A">
      <w:pPr>
        <w:pStyle w:val="DA2SecondLevel"/>
        <w:keepNext w:val="0"/>
        <w:widowControl w:val="0"/>
        <w:jc w:val="both"/>
      </w:pPr>
      <w:r w:rsidRPr="00BD0BB8">
        <w:t xml:space="preserve">There are no general qualifications prescribed by the Company for a Person to serve as a member of a Board committee in addition to the requirements of the </w:t>
      </w:r>
      <w:r w:rsidR="0050570C" w:rsidRPr="00BD0BB8">
        <w:t>Act</w:t>
      </w:r>
      <w:r w:rsidRPr="00BD0BB8">
        <w:t>.</w:t>
      </w:r>
    </w:p>
    <w:p w14:paraId="791E40AB" w14:textId="77777777" w:rsidR="00462C16" w:rsidRPr="00BD0BB8" w:rsidRDefault="00BF3AAB" w:rsidP="006A005A">
      <w:pPr>
        <w:pStyle w:val="DA2SecondLevel"/>
        <w:keepNext w:val="0"/>
        <w:widowControl w:val="0"/>
        <w:jc w:val="both"/>
      </w:pPr>
      <w:r w:rsidRPr="00BD0BB8">
        <w:t xml:space="preserve">A member of a Board committee shall cease to hold office as such immediately </w:t>
      </w:r>
      <w:r w:rsidR="00EC2965" w:rsidRPr="00BD0BB8">
        <w:t xml:space="preserve">when </w:t>
      </w:r>
      <w:r w:rsidRPr="00BD0BB8">
        <w:t>he</w:t>
      </w:r>
      <w:r w:rsidR="00540101" w:rsidRPr="00BD0BB8">
        <w:t>/she</w:t>
      </w:r>
      <w:r w:rsidRPr="00BD0BB8">
        <w:t xml:space="preserve"> becomes Ineligible or Disqualified in terms of the </w:t>
      </w:r>
      <w:r w:rsidR="0050570C" w:rsidRPr="00BD0BB8">
        <w:t>Act</w:t>
      </w:r>
      <w:r w:rsidRPr="00BD0BB8">
        <w:t>.</w:t>
      </w:r>
    </w:p>
    <w:p w14:paraId="18A3CF51" w14:textId="77777777" w:rsidR="00BA0160" w:rsidRPr="00BD0BB8" w:rsidRDefault="00BF3AAB" w:rsidP="006A005A">
      <w:pPr>
        <w:pStyle w:val="DA2SecondLevel"/>
        <w:keepNext w:val="0"/>
        <w:widowControl w:val="0"/>
        <w:jc w:val="both"/>
      </w:pPr>
      <w:r w:rsidRPr="00BD0BB8">
        <w:t>Any c</w:t>
      </w:r>
      <w:r w:rsidR="00462C16" w:rsidRPr="00BD0BB8">
        <w:t>ommittee of the Board</w:t>
      </w:r>
      <w:r w:rsidR="00D22DD7" w:rsidRPr="00BD0BB8">
        <w:t>:</w:t>
      </w:r>
    </w:p>
    <w:p w14:paraId="5F551F2E" w14:textId="694935DB" w:rsidR="00462C16" w:rsidRPr="00BD0BB8" w:rsidRDefault="00BF3AAB" w:rsidP="006A005A">
      <w:pPr>
        <w:pStyle w:val="Heading3"/>
        <w:keepNext w:val="0"/>
        <w:keepLines w:val="0"/>
        <w:widowControl w:val="0"/>
      </w:pPr>
      <w:r w:rsidRPr="00BD0BB8">
        <w:lastRenderedPageBreak/>
        <w:t>may consult with or receive advice from any person</w:t>
      </w:r>
      <w:r w:rsidR="00592CD3" w:rsidRPr="00BD0BB8">
        <w:rPr>
          <w:rStyle w:val="FootnoteReference"/>
        </w:rPr>
        <w:footnoteReference w:id="102"/>
      </w:r>
      <w:r w:rsidR="00BA0160" w:rsidRPr="00BD0BB8">
        <w:t>; and</w:t>
      </w:r>
    </w:p>
    <w:p w14:paraId="5F9A0FDC" w14:textId="0A51DC01" w:rsidR="00BA0160" w:rsidRPr="00BD0BB8" w:rsidRDefault="00BF3AAB" w:rsidP="006A005A">
      <w:pPr>
        <w:pStyle w:val="Heading3"/>
        <w:keepNext w:val="0"/>
        <w:keepLines w:val="0"/>
        <w:widowControl w:val="0"/>
      </w:pPr>
      <w:r w:rsidRPr="00BD0BB8">
        <w:t xml:space="preserve">has the full authority of the </w:t>
      </w:r>
      <w:r w:rsidR="00CE103E" w:rsidRPr="00BD0BB8">
        <w:t>B</w:t>
      </w:r>
      <w:r w:rsidRPr="00BD0BB8">
        <w:t>oard in respect of a matter referred to it.</w:t>
      </w:r>
      <w:r w:rsidR="00592CD3" w:rsidRPr="00BD0BB8">
        <w:rPr>
          <w:rStyle w:val="FootnoteReference"/>
        </w:rPr>
        <w:footnoteReference w:id="103"/>
      </w:r>
    </w:p>
    <w:p w14:paraId="345F5732" w14:textId="77777777" w:rsidR="00480348" w:rsidRPr="00BD0BB8" w:rsidRDefault="00BF3AAB" w:rsidP="006A005A">
      <w:pPr>
        <w:pStyle w:val="DA2SecondLevel"/>
        <w:keepNext w:val="0"/>
        <w:widowControl w:val="0"/>
        <w:jc w:val="both"/>
      </w:pPr>
      <w:r w:rsidRPr="00BD0BB8">
        <w:t>Meetings and other proceedings of a committee of the Board consisting of more than 1 (one) member shall be governed by the provisions of this MOI regulating the meetings and proceedings of Directors.</w:t>
      </w:r>
      <w:bookmarkStart w:id="208" w:name="_Toc256693274"/>
      <w:bookmarkStart w:id="209" w:name="_Toc256693506"/>
      <w:bookmarkStart w:id="210" w:name="_Toc256693652"/>
      <w:bookmarkStart w:id="211" w:name="_Toc256695192"/>
      <w:bookmarkStart w:id="212" w:name="_Toc256695508"/>
      <w:bookmarkEnd w:id="207"/>
    </w:p>
    <w:p w14:paraId="48A0DEB3" w14:textId="77777777" w:rsidR="00462C16" w:rsidRPr="00BD0BB8" w:rsidRDefault="00BF3AAB" w:rsidP="006A005A">
      <w:pPr>
        <w:pStyle w:val="DA1FirstLevelHeading"/>
        <w:keepNext w:val="0"/>
        <w:widowControl w:val="0"/>
        <w:jc w:val="both"/>
      </w:pPr>
      <w:r w:rsidRPr="00BD0BB8">
        <w:t>PROCEEDINGS OF DIRECTORS</w:t>
      </w:r>
      <w:bookmarkEnd w:id="208"/>
      <w:bookmarkEnd w:id="209"/>
      <w:bookmarkEnd w:id="210"/>
      <w:bookmarkEnd w:id="211"/>
      <w:bookmarkEnd w:id="212"/>
    </w:p>
    <w:p w14:paraId="5E8C4215" w14:textId="77777777" w:rsidR="001A1743" w:rsidRPr="00BD0BB8" w:rsidRDefault="00BF3AAB" w:rsidP="006A005A">
      <w:pPr>
        <w:pStyle w:val="DA01"/>
      </w:pPr>
      <w:r w:rsidRPr="00BD0BB8">
        <w:t>Directors' meetings</w:t>
      </w:r>
    </w:p>
    <w:p w14:paraId="45CFFD4A" w14:textId="77777777" w:rsidR="00462C16" w:rsidRPr="00BD0BB8" w:rsidRDefault="00BF3AAB" w:rsidP="006A005A">
      <w:pPr>
        <w:pStyle w:val="DA2SecondLevel"/>
        <w:keepNext w:val="0"/>
        <w:widowControl w:val="0"/>
        <w:jc w:val="both"/>
        <w:rPr>
          <w:b/>
        </w:rPr>
      </w:pPr>
      <w:bookmarkStart w:id="213" w:name="_Ref255463394"/>
      <w:r w:rsidRPr="00BD0BB8">
        <w:t>A Director authorised by the Board</w:t>
      </w:r>
      <w:r w:rsidR="00D22DD7" w:rsidRPr="00BD0BB8">
        <w:t>:</w:t>
      </w:r>
    </w:p>
    <w:p w14:paraId="5734DBAB" w14:textId="3C294CE8" w:rsidR="00462C16" w:rsidRPr="00BD0BB8" w:rsidRDefault="00BF3AAB" w:rsidP="006A005A">
      <w:pPr>
        <w:pStyle w:val="Heading3"/>
        <w:keepNext w:val="0"/>
        <w:keepLines w:val="0"/>
        <w:widowControl w:val="0"/>
      </w:pPr>
      <w:r w:rsidRPr="00BD0BB8">
        <w:t>may, at any time, summon a meeting of the Directors</w:t>
      </w:r>
      <w:r w:rsidR="00592CD3" w:rsidRPr="00BD0BB8">
        <w:rPr>
          <w:rStyle w:val="FootnoteReference"/>
        </w:rPr>
        <w:footnoteReference w:id="104"/>
      </w:r>
      <w:r w:rsidRPr="00BD0BB8">
        <w:t>; and</w:t>
      </w:r>
    </w:p>
    <w:p w14:paraId="21DC1C85" w14:textId="4AF4E57A" w:rsidR="00462C16" w:rsidRPr="00BD0BB8" w:rsidRDefault="00BF3AAB" w:rsidP="006A005A">
      <w:pPr>
        <w:pStyle w:val="Heading3"/>
        <w:keepNext w:val="0"/>
        <w:keepLines w:val="0"/>
        <w:widowControl w:val="0"/>
      </w:pPr>
      <w:r w:rsidRPr="00BD0BB8">
        <w:t>must call a meeting of the Directors if required to do so by at least 2 (two) Directors</w:t>
      </w:r>
      <w:r w:rsidR="00592CD3" w:rsidRPr="00BD0BB8">
        <w:rPr>
          <w:rStyle w:val="FootnoteReference"/>
        </w:rPr>
        <w:footnoteReference w:id="105"/>
      </w:r>
      <w:r w:rsidRPr="00BD0BB8">
        <w:t>.</w:t>
      </w:r>
    </w:p>
    <w:p w14:paraId="143ED54A" w14:textId="3ACD2A77" w:rsidR="00462C16" w:rsidRPr="00BD0BB8" w:rsidRDefault="00BF3AAB" w:rsidP="006A005A">
      <w:pPr>
        <w:pStyle w:val="DA2SecondLevel"/>
        <w:keepNext w:val="0"/>
        <w:widowControl w:val="0"/>
        <w:jc w:val="both"/>
      </w:pPr>
      <w:bookmarkStart w:id="214" w:name="_Ref256067880"/>
      <w:bookmarkStart w:id="215" w:name="_Ref255849091"/>
      <w:bookmarkEnd w:id="213"/>
      <w:r w:rsidRPr="00BD0BB8">
        <w:t>The Directors may determine what period of notice shall be given of meetings of Directors and may determine the means of giving such notice which may include telephone or Electronic Communication. It shall be necessary to give notice of a meeting of Directors to all Directors</w:t>
      </w:r>
      <w:r w:rsidR="00F65AB6" w:rsidRPr="00BD0BB8">
        <w:t>,</w:t>
      </w:r>
      <w:r w:rsidRPr="00BD0BB8">
        <w:t xml:space="preserve"> even those for the time being absent from </w:t>
      </w:r>
      <w:r w:rsidR="006647F9" w:rsidRPr="00BD0BB8">
        <w:t xml:space="preserve">the Republic of </w:t>
      </w:r>
      <w:r w:rsidRPr="00BD0BB8">
        <w:t>South Africa.</w:t>
      </w:r>
      <w:bookmarkEnd w:id="214"/>
      <w:r w:rsidR="00592CD3" w:rsidRPr="00BD0BB8">
        <w:rPr>
          <w:rStyle w:val="FootnoteReference"/>
          <w:color w:val="auto"/>
        </w:rPr>
        <w:footnoteReference w:id="106"/>
      </w:r>
    </w:p>
    <w:p w14:paraId="4989297C" w14:textId="77777777" w:rsidR="00462C16" w:rsidRPr="00BD0BB8" w:rsidRDefault="00BF3AAB" w:rsidP="006A005A">
      <w:pPr>
        <w:pStyle w:val="DA2SecondLevel"/>
        <w:keepNext w:val="0"/>
        <w:widowControl w:val="0"/>
        <w:jc w:val="both"/>
      </w:pPr>
      <w:r w:rsidRPr="00BD0BB8">
        <w:t>If all of the Directors</w:t>
      </w:r>
      <w:r w:rsidR="00D22DD7" w:rsidRPr="00BD0BB8">
        <w:t>:</w:t>
      </w:r>
    </w:p>
    <w:p w14:paraId="2E095D54" w14:textId="77777777" w:rsidR="00462C16" w:rsidRPr="00BD0BB8" w:rsidRDefault="00BF3AAB" w:rsidP="006A005A">
      <w:pPr>
        <w:pStyle w:val="Heading3"/>
        <w:keepNext w:val="0"/>
        <w:keepLines w:val="0"/>
        <w:widowControl w:val="0"/>
      </w:pPr>
      <w:r w:rsidRPr="00BD0BB8">
        <w:t>acknowledg</w:t>
      </w:r>
      <w:r w:rsidR="00017C99" w:rsidRPr="00BD0BB8">
        <w:t>e actual receipt of the notice;</w:t>
      </w:r>
      <w:r w:rsidR="009314CB" w:rsidRPr="00BD0BB8">
        <w:t xml:space="preserve"> and</w:t>
      </w:r>
    </w:p>
    <w:p w14:paraId="384E2CD8" w14:textId="77777777" w:rsidR="00462C16" w:rsidRPr="00BD0BB8" w:rsidRDefault="00BF3AAB" w:rsidP="006A005A">
      <w:pPr>
        <w:pStyle w:val="Heading3"/>
        <w:keepNext w:val="0"/>
        <w:keepLines w:val="0"/>
        <w:widowControl w:val="0"/>
      </w:pPr>
      <w:r w:rsidRPr="00BD0BB8">
        <w:t>are present at</w:t>
      </w:r>
      <w:r w:rsidR="00017C99" w:rsidRPr="00BD0BB8">
        <w:t xml:space="preserve"> a meeting of the Directors; or</w:t>
      </w:r>
    </w:p>
    <w:p w14:paraId="2A1B1F54" w14:textId="77777777" w:rsidR="00462C16" w:rsidRPr="00BD0BB8" w:rsidRDefault="00BF3AAB" w:rsidP="006A005A">
      <w:pPr>
        <w:pStyle w:val="Heading3"/>
        <w:keepNext w:val="0"/>
        <w:keepLines w:val="0"/>
        <w:widowControl w:val="0"/>
      </w:pPr>
      <w:r w:rsidRPr="00BD0BB8">
        <w:lastRenderedPageBreak/>
        <w:t>waive notice of the meeting,</w:t>
      </w:r>
    </w:p>
    <w:p w14:paraId="6D8DB094" w14:textId="1DCCA3CB" w:rsidR="00280FBD" w:rsidRPr="00BD0BB8" w:rsidRDefault="00BF3AAB" w:rsidP="006A005A">
      <w:pPr>
        <w:pStyle w:val="DA2SecondLevel"/>
        <w:keepNext w:val="0"/>
        <w:widowControl w:val="0"/>
        <w:numPr>
          <w:ilvl w:val="0"/>
          <w:numId w:val="0"/>
        </w:numPr>
        <w:ind w:left="1418"/>
        <w:jc w:val="both"/>
        <w:rPr>
          <w:b/>
        </w:rPr>
      </w:pPr>
      <w:r w:rsidRPr="00BD0BB8">
        <w:t>the meeting may proceed even if the Company failed to give the required notice of that meeting, or there was a defect in the giving of the notice.</w:t>
      </w:r>
      <w:r w:rsidR="007F70C4" w:rsidRPr="00BD0BB8">
        <w:rPr>
          <w:rStyle w:val="FootnoteReference"/>
        </w:rPr>
        <w:footnoteReference w:id="107"/>
      </w:r>
    </w:p>
    <w:p w14:paraId="6FBC2083" w14:textId="77777777" w:rsidR="00452FF7" w:rsidRPr="00BD0BB8" w:rsidRDefault="00BF3AAB" w:rsidP="006A005A">
      <w:pPr>
        <w:pStyle w:val="DA2SecondLevel"/>
        <w:keepNext w:val="0"/>
        <w:widowControl w:val="0"/>
        <w:jc w:val="both"/>
      </w:pPr>
      <w:r w:rsidRPr="00BD0BB8">
        <w:t>The Directors may meet together for the despatch of business, adjourn and otherwise regulate their meetings as they think fit.</w:t>
      </w:r>
      <w:bookmarkStart w:id="216" w:name="_Ref526851569"/>
      <w:bookmarkEnd w:id="215"/>
    </w:p>
    <w:p w14:paraId="1F384072" w14:textId="77777777" w:rsidR="0072466C" w:rsidRPr="00BD0BB8" w:rsidRDefault="00BF3AAB" w:rsidP="006A005A">
      <w:pPr>
        <w:pStyle w:val="DA01"/>
      </w:pPr>
      <w:r w:rsidRPr="00BD0BB8">
        <w:t>Location of Directors' meetings</w:t>
      </w:r>
    </w:p>
    <w:p w14:paraId="4C0D1CD2" w14:textId="6BE2EBF9" w:rsidR="00A713F0" w:rsidRPr="00BD0BB8" w:rsidRDefault="00BF3AAB" w:rsidP="006A005A">
      <w:pPr>
        <w:pStyle w:val="DA2SecondLevel"/>
        <w:keepNext w:val="0"/>
        <w:widowControl w:val="0"/>
        <w:jc w:val="both"/>
      </w:pPr>
      <w:r w:rsidRPr="00BD0BB8">
        <w:t xml:space="preserve">Every </w:t>
      </w:r>
      <w:bookmarkEnd w:id="216"/>
      <w:r w:rsidRPr="00BD0BB8">
        <w:t>Directors</w:t>
      </w:r>
      <w:r w:rsidR="002C6A4D" w:rsidRPr="00BD0BB8">
        <w:t>'</w:t>
      </w:r>
      <w:r w:rsidRPr="00BD0BB8">
        <w:t xml:space="preserve"> </w:t>
      </w:r>
      <w:r w:rsidR="002C6A4D" w:rsidRPr="00BD0BB8">
        <w:t>m</w:t>
      </w:r>
      <w:r w:rsidRPr="00BD0BB8">
        <w:t>eeting shall be held where the Board determines from time to time.</w:t>
      </w:r>
    </w:p>
    <w:p w14:paraId="2E17821A" w14:textId="77777777" w:rsidR="000452C8" w:rsidRPr="00BD0BB8" w:rsidRDefault="00BF3AAB" w:rsidP="006A005A">
      <w:pPr>
        <w:pStyle w:val="DA01"/>
      </w:pPr>
      <w:r w:rsidRPr="00BD0BB8">
        <w:t>Electronic Communication</w:t>
      </w:r>
    </w:p>
    <w:p w14:paraId="56E6E2CE" w14:textId="03D602FE" w:rsidR="00462C16" w:rsidRPr="00BD0BB8" w:rsidRDefault="00BF3AAB" w:rsidP="006A005A">
      <w:pPr>
        <w:pStyle w:val="DA2SecondLevel"/>
        <w:keepNext w:val="0"/>
        <w:widowControl w:val="0"/>
        <w:jc w:val="both"/>
      </w:pPr>
      <w:r w:rsidRPr="00BD0BB8">
        <w:t>A meeting of Directors may be conducted by Electronic Communication and/or one or more Directors may participate in a meeting of Directors by Electronic Communication so long as the Electronic Communication facility employed ordinarily enables all persons participating in that meeting to communicate concurrently with each other without an intermediary, and to participate effectively in the meeting.</w:t>
      </w:r>
      <w:r w:rsidR="007F70C4" w:rsidRPr="00BD0BB8">
        <w:rPr>
          <w:rStyle w:val="FootnoteReference"/>
          <w:color w:val="auto"/>
        </w:rPr>
        <w:footnoteReference w:id="108"/>
      </w:r>
    </w:p>
    <w:p w14:paraId="7297DDFD" w14:textId="77777777" w:rsidR="000452C8" w:rsidRPr="00BD0BB8" w:rsidRDefault="00BF3AAB" w:rsidP="006A005A">
      <w:pPr>
        <w:pStyle w:val="DA01"/>
      </w:pPr>
      <w:r w:rsidRPr="00BD0BB8">
        <w:t>Quorum</w:t>
      </w:r>
    </w:p>
    <w:p w14:paraId="22724719" w14:textId="77777777" w:rsidR="00A540CF" w:rsidRPr="00BD0BB8" w:rsidRDefault="00A540CF" w:rsidP="006A005A">
      <w:pPr>
        <w:pStyle w:val="DA2SecondLevel"/>
        <w:keepNext w:val="0"/>
        <w:widowControl w:val="0"/>
        <w:jc w:val="both"/>
      </w:pPr>
      <w:bookmarkStart w:id="217" w:name="_Ref255483059"/>
      <w:r w:rsidRPr="00BD0BB8">
        <w:t>A quorum for a meeting of the Board shall require the presence of a majority of the Directors then in office; provided, however, that a meeting shall not be quorate unless at least:</w:t>
      </w:r>
    </w:p>
    <w:p w14:paraId="48373A10" w14:textId="09E1F4DB" w:rsidR="00A540CF" w:rsidRPr="00BD0BB8" w:rsidRDefault="00A540CF" w:rsidP="006A005A">
      <w:pPr>
        <w:pStyle w:val="Heading3"/>
        <w:keepNext w:val="0"/>
        <w:keepLines w:val="0"/>
        <w:widowControl w:val="0"/>
      </w:pPr>
      <w:r w:rsidRPr="00BD0BB8">
        <w:t>one Ordinary Director; and</w:t>
      </w:r>
    </w:p>
    <w:p w14:paraId="7409F063" w14:textId="7D487DA2" w:rsidR="00A540CF" w:rsidRPr="00BD0BB8" w:rsidRDefault="00A540CF" w:rsidP="006A005A">
      <w:pPr>
        <w:pStyle w:val="Heading3"/>
        <w:keepNext w:val="0"/>
        <w:keepLines w:val="0"/>
        <w:widowControl w:val="0"/>
      </w:pPr>
      <w:r w:rsidRPr="00BD0BB8">
        <w:t>the Preference Share Director,</w:t>
      </w:r>
    </w:p>
    <w:p w14:paraId="472C14FE" w14:textId="197742BA" w:rsidR="00E05BDB" w:rsidRPr="00BD0BB8" w:rsidRDefault="00A540CF" w:rsidP="006A005A">
      <w:pPr>
        <w:pStyle w:val="DA2SecondLevel"/>
        <w:keepNext w:val="0"/>
        <w:widowControl w:val="0"/>
        <w:numPr>
          <w:ilvl w:val="0"/>
          <w:numId w:val="0"/>
        </w:numPr>
        <w:ind w:left="1418"/>
        <w:jc w:val="both"/>
      </w:pPr>
      <w:r w:rsidRPr="00BD0BB8">
        <w:t>are present</w:t>
      </w:r>
      <w:r w:rsidR="007F70C4" w:rsidRPr="00BD0BB8">
        <w:rPr>
          <w:rStyle w:val="FootnoteReference"/>
          <w:color w:val="auto"/>
        </w:rPr>
        <w:footnoteReference w:id="109"/>
      </w:r>
      <w:commentRangeStart w:id="218"/>
      <w:commentRangeEnd w:id="218"/>
      <w:r w:rsidR="00B21FA0" w:rsidRPr="00BD0BB8">
        <w:rPr>
          <w:rStyle w:val="CommentReference"/>
          <w:sz w:val="22"/>
          <w:szCs w:val="22"/>
        </w:rPr>
        <w:commentReference w:id="218"/>
      </w:r>
      <w:r w:rsidR="00017C99" w:rsidRPr="00BD0BB8">
        <w:t>.</w:t>
      </w:r>
    </w:p>
    <w:p w14:paraId="012E2546" w14:textId="77777777" w:rsidR="00B86E80" w:rsidRPr="00BD0BB8" w:rsidRDefault="00BF3AAB" w:rsidP="006A005A">
      <w:pPr>
        <w:pStyle w:val="DA2SecondLevel"/>
        <w:keepNext w:val="0"/>
        <w:widowControl w:val="0"/>
        <w:jc w:val="both"/>
      </w:pPr>
      <w:bookmarkStart w:id="219" w:name="_Ref526851394"/>
      <w:r w:rsidRPr="00BD0BB8">
        <w:t xml:space="preserve">The Directors may elect a </w:t>
      </w:r>
      <w:r w:rsidR="00F17795" w:rsidRPr="00BD0BB8">
        <w:t>chairperson</w:t>
      </w:r>
      <w:r w:rsidRPr="00BD0BB8">
        <w:t xml:space="preserve"> of their meetings and determine the period for which he</w:t>
      </w:r>
      <w:r w:rsidR="00540101" w:rsidRPr="00BD0BB8">
        <w:t>/she</w:t>
      </w:r>
      <w:r w:rsidRPr="00BD0BB8">
        <w:t xml:space="preserve"> is to hold office but if no such </w:t>
      </w:r>
      <w:r w:rsidR="00F17795" w:rsidRPr="00BD0BB8">
        <w:t>chairperson</w:t>
      </w:r>
      <w:r w:rsidRPr="00BD0BB8">
        <w:t xml:space="preserve"> is elected, or if at any meeting the </w:t>
      </w:r>
      <w:r w:rsidR="00F17795" w:rsidRPr="00BD0BB8">
        <w:t>chairperson</w:t>
      </w:r>
      <w:r w:rsidRPr="00BD0BB8">
        <w:t xml:space="preserve"> is not present within 15 (fifteen) minutes after the time appointed for </w:t>
      </w:r>
      <w:r w:rsidRPr="00BD0BB8">
        <w:lastRenderedPageBreak/>
        <w:t xml:space="preserve">holding it, the Directors present may choose one of their number to be </w:t>
      </w:r>
      <w:r w:rsidR="00F17795" w:rsidRPr="00BD0BB8">
        <w:t>chairperson</w:t>
      </w:r>
      <w:r w:rsidRPr="00BD0BB8">
        <w:t xml:space="preserve"> of the meeting.</w:t>
      </w:r>
      <w:bookmarkEnd w:id="219"/>
    </w:p>
    <w:p w14:paraId="6258AF77" w14:textId="77777777" w:rsidR="001348A4" w:rsidRPr="00BD0BB8" w:rsidRDefault="00BF3AAB" w:rsidP="006A005A">
      <w:pPr>
        <w:pStyle w:val="DA01"/>
      </w:pPr>
      <w:r w:rsidRPr="00BD0BB8">
        <w:t>Adjournment</w:t>
      </w:r>
    </w:p>
    <w:p w14:paraId="7F505B8B" w14:textId="0B5AE991" w:rsidR="001348A4" w:rsidRPr="00BD0BB8" w:rsidRDefault="00BF3AAB" w:rsidP="006A005A">
      <w:pPr>
        <w:pStyle w:val="DA2SecondLevel"/>
        <w:keepNext w:val="0"/>
        <w:widowControl w:val="0"/>
        <w:jc w:val="both"/>
      </w:pPr>
      <w:bookmarkStart w:id="220" w:name="_Ref482539989"/>
      <w:r w:rsidRPr="00BD0BB8">
        <w:t>If within 1 (one) hour from the time appointed for the Directors' meeting to commence, a quorum is not present, the Directors' meeting shall be postponed, without motion, vote or further notice, subject to clause </w:t>
      </w:r>
      <w:r w:rsidRPr="00BD0BB8">
        <w:fldChar w:fldCharType="begin"/>
      </w:r>
      <w:r w:rsidRPr="00BD0BB8">
        <w:instrText xml:space="preserve"> REF _Ref482539877 \r \h </w:instrText>
      </w:r>
      <w:r w:rsidR="00AD5D04" w:rsidRPr="00BD0BB8">
        <w:instrText xml:space="preserve"> \* MERGEFORMAT </w:instrText>
      </w:r>
      <w:r w:rsidRPr="00BD0BB8">
        <w:fldChar w:fldCharType="separate"/>
      </w:r>
      <w:r w:rsidR="00633773">
        <w:t>25.10</w:t>
      </w:r>
      <w:r w:rsidRPr="00BD0BB8">
        <w:fldChar w:fldCharType="end"/>
      </w:r>
      <w:r w:rsidRPr="00BD0BB8">
        <w:t xml:space="preserve">, for 1 (one) week to the same day in the next week or, if that day be a public holiday, to the next succeeding day which is not a public holiday, and if at such adjourned Directors' meeting a quorum is not present within 1 (one) hour from the time appointed for the </w:t>
      </w:r>
      <w:r w:rsidR="00BF4BBA" w:rsidRPr="00BD0BB8">
        <w:t>Directors'</w:t>
      </w:r>
      <w:r w:rsidRPr="00BD0BB8">
        <w:t xml:space="preserve"> </w:t>
      </w:r>
      <w:r w:rsidR="002C6A4D" w:rsidRPr="00BD0BB8">
        <w:t>m</w:t>
      </w:r>
      <w:r w:rsidRPr="00BD0BB8">
        <w:t>eeting, then the Person(s) entitled to vote Present shall be deemed to be the requisite quorum.</w:t>
      </w:r>
      <w:bookmarkEnd w:id="220"/>
    </w:p>
    <w:p w14:paraId="48D4DDB4" w14:textId="7414BC67" w:rsidR="001348A4" w:rsidRPr="00BD0BB8" w:rsidRDefault="00BF3AAB" w:rsidP="006A005A">
      <w:pPr>
        <w:pStyle w:val="DA2SecondLevel"/>
        <w:keepNext w:val="0"/>
        <w:widowControl w:val="0"/>
        <w:jc w:val="both"/>
      </w:pPr>
      <w:bookmarkStart w:id="221" w:name="_Ref482539877"/>
      <w:r w:rsidRPr="00BD0BB8">
        <w:t>No further notice is required to be Delivered by the Company of a Directors' meeting that is postponed or adjourned as contemplated in clause </w:t>
      </w:r>
      <w:r w:rsidRPr="00BD0BB8">
        <w:fldChar w:fldCharType="begin"/>
      </w:r>
      <w:r w:rsidRPr="00BD0BB8">
        <w:instrText xml:space="preserve"> REF _Ref482539989 \r \h </w:instrText>
      </w:r>
      <w:r w:rsidR="00AD5D04" w:rsidRPr="00BD0BB8">
        <w:instrText xml:space="preserve"> \* MERGEFORMAT </w:instrText>
      </w:r>
      <w:r w:rsidRPr="00BD0BB8">
        <w:fldChar w:fldCharType="separate"/>
      </w:r>
      <w:r w:rsidR="00633773">
        <w:t>25.9</w:t>
      </w:r>
      <w:r w:rsidRPr="00BD0BB8">
        <w:fldChar w:fldCharType="end"/>
      </w:r>
      <w:r w:rsidRPr="00BD0BB8">
        <w:t>, unless the location for the Directors' meeting is different from:</w:t>
      </w:r>
      <w:bookmarkEnd w:id="221"/>
    </w:p>
    <w:p w14:paraId="294A261F" w14:textId="77777777" w:rsidR="001348A4" w:rsidRPr="00BD0BB8" w:rsidRDefault="00BF3AAB" w:rsidP="006A005A">
      <w:pPr>
        <w:pStyle w:val="Heading3"/>
        <w:keepNext w:val="0"/>
        <w:keepLines w:val="0"/>
        <w:widowControl w:val="0"/>
      </w:pPr>
      <w:bookmarkStart w:id="222" w:name="_Ref482539861"/>
      <w:r w:rsidRPr="00BD0BB8">
        <w:t>the location of the postponed or adjourned Directors' meeting; or</w:t>
      </w:r>
      <w:bookmarkEnd w:id="222"/>
    </w:p>
    <w:p w14:paraId="1CA54409" w14:textId="77777777" w:rsidR="001348A4" w:rsidRPr="00BD0BB8" w:rsidRDefault="00BF3AAB" w:rsidP="006A005A">
      <w:pPr>
        <w:pStyle w:val="Heading3"/>
        <w:keepNext w:val="0"/>
        <w:keepLines w:val="0"/>
        <w:widowControl w:val="0"/>
        <w:rPr>
          <w:u w:val="single"/>
        </w:rPr>
      </w:pPr>
      <w:r w:rsidRPr="00BD0BB8">
        <w:t>a location announced at the time of adjournment, in the case of an adjourned Directors' meeting.</w:t>
      </w:r>
    </w:p>
    <w:p w14:paraId="0B2FDFC5" w14:textId="77777777" w:rsidR="000452C8" w:rsidRPr="00BD0BB8" w:rsidRDefault="00BF3AAB" w:rsidP="006A005A">
      <w:pPr>
        <w:pStyle w:val="DA01"/>
      </w:pPr>
      <w:r w:rsidRPr="00BD0BB8">
        <w:t>Votes</w:t>
      </w:r>
    </w:p>
    <w:p w14:paraId="46A83B84" w14:textId="7BA50957" w:rsidR="00462C16" w:rsidRPr="00BD0BB8" w:rsidRDefault="00BF3AAB" w:rsidP="006A005A">
      <w:pPr>
        <w:pStyle w:val="DA2SecondLevel"/>
        <w:keepNext w:val="0"/>
        <w:widowControl w:val="0"/>
        <w:jc w:val="both"/>
      </w:pPr>
      <w:r w:rsidRPr="00BD0BB8">
        <w:t xml:space="preserve">Each Director has 1 (one) vote </w:t>
      </w:r>
      <w:r w:rsidR="003C2DCA" w:rsidRPr="00BD0BB8">
        <w:rPr>
          <w:rStyle w:val="FootnoteReference"/>
          <w:color w:val="auto"/>
        </w:rPr>
        <w:footnoteReference w:id="110"/>
      </w:r>
      <w:r w:rsidR="003C2DCA" w:rsidRPr="00BD0BB8">
        <w:rPr>
          <w:color w:val="auto"/>
        </w:rPr>
        <w:t xml:space="preserve"> </w:t>
      </w:r>
      <w:r w:rsidRPr="00BD0BB8">
        <w:t xml:space="preserve">on a matter before the Board </w:t>
      </w:r>
      <w:bookmarkStart w:id="223" w:name="_Hlk527900486"/>
      <w:r w:rsidRPr="00BD0BB8">
        <w:t xml:space="preserve">and a majority of the votes </w:t>
      </w:r>
      <w:r w:rsidR="003C2DCA" w:rsidRPr="00BD0BB8">
        <w:rPr>
          <w:rStyle w:val="FootnoteReference"/>
          <w:color w:val="auto"/>
        </w:rPr>
        <w:footnoteReference w:id="111"/>
      </w:r>
      <w:r w:rsidRPr="00BD0BB8">
        <w:t>cast on a resolution is sufficient to approve that resolution</w:t>
      </w:r>
      <w:bookmarkEnd w:id="223"/>
      <w:r w:rsidRPr="00BD0BB8">
        <w:t>.</w:t>
      </w:r>
    </w:p>
    <w:p w14:paraId="3F002493" w14:textId="6CACA6E1" w:rsidR="00227BAC" w:rsidRPr="00BD0BB8" w:rsidRDefault="00BF3AAB" w:rsidP="006A005A">
      <w:pPr>
        <w:pStyle w:val="DA2SecondLevel"/>
        <w:keepNext w:val="0"/>
        <w:widowControl w:val="0"/>
        <w:jc w:val="both"/>
      </w:pPr>
      <w:r w:rsidRPr="00BD0BB8">
        <w:t xml:space="preserve">In the case of a tied vote the </w:t>
      </w:r>
      <w:r w:rsidR="00F17795" w:rsidRPr="00BD0BB8">
        <w:t>chairperson</w:t>
      </w:r>
      <w:r w:rsidRPr="00BD0BB8">
        <w:t xml:space="preserve"> may not cast a deciding vote even if the </w:t>
      </w:r>
      <w:r w:rsidR="00F17795" w:rsidRPr="00BD0BB8">
        <w:t>chairperson</w:t>
      </w:r>
      <w:r w:rsidRPr="00BD0BB8">
        <w:t xml:space="preserve"> did not initially have or cast a vote and the matter being voted on fails.</w:t>
      </w:r>
      <w:bookmarkEnd w:id="217"/>
      <w:r w:rsidR="001E4E8B" w:rsidRPr="00BD0BB8">
        <w:t xml:space="preserve"> </w:t>
      </w:r>
      <w:r w:rsidR="003C2DCA" w:rsidRPr="00BD0BB8">
        <w:rPr>
          <w:rStyle w:val="FootnoteReference"/>
          <w:color w:val="auto"/>
        </w:rPr>
        <w:footnoteReference w:id="112"/>
      </w:r>
    </w:p>
    <w:p w14:paraId="0387EB48" w14:textId="77777777" w:rsidR="001A1743" w:rsidRPr="00BD0BB8" w:rsidRDefault="00BF3AAB" w:rsidP="006A005A">
      <w:pPr>
        <w:pStyle w:val="DA01"/>
      </w:pPr>
      <w:bookmarkStart w:id="224" w:name="_Ref526851586"/>
      <w:bookmarkStart w:id="225" w:name="_Ref255564354"/>
      <w:r w:rsidRPr="00BD0BB8">
        <w:lastRenderedPageBreak/>
        <w:t>Minutes and resolutions</w:t>
      </w:r>
    </w:p>
    <w:p w14:paraId="1059CE66" w14:textId="6E84923C" w:rsidR="00462C16" w:rsidRPr="00BD0BB8" w:rsidRDefault="00BF3AAB" w:rsidP="006A005A">
      <w:pPr>
        <w:pStyle w:val="DA2SecondLevel"/>
        <w:keepNext w:val="0"/>
        <w:widowControl w:val="0"/>
        <w:jc w:val="both"/>
      </w:pPr>
      <w:bookmarkStart w:id="226" w:name="_Ref447285570"/>
      <w:r w:rsidRPr="00BD0BB8">
        <w:t>The Company must keep minutes of the meetings of the Board, and any of its committ</w:t>
      </w:r>
      <w:r w:rsidR="001A1743" w:rsidRPr="00BD0BB8">
        <w:t xml:space="preserve">ees, and include in the minutes </w:t>
      </w:r>
      <w:r w:rsidR="00A31A85" w:rsidRPr="00BD0BB8">
        <w:t>every r</w:t>
      </w:r>
      <w:r w:rsidR="001A1743" w:rsidRPr="00BD0BB8">
        <w:t>esolution adopted by the Board.</w:t>
      </w:r>
      <w:bookmarkEnd w:id="226"/>
      <w:r w:rsidR="00C3223F" w:rsidRPr="00BD0BB8">
        <w:rPr>
          <w:rStyle w:val="FootnoteReference"/>
          <w:color w:val="auto"/>
        </w:rPr>
        <w:footnoteReference w:id="113"/>
      </w:r>
    </w:p>
    <w:p w14:paraId="604FDD18" w14:textId="77777777" w:rsidR="00462C16" w:rsidRPr="00BD0BB8" w:rsidRDefault="00BF3AAB" w:rsidP="006A005A">
      <w:pPr>
        <w:pStyle w:val="DA2SecondLevel"/>
        <w:keepNext w:val="0"/>
        <w:widowControl w:val="0"/>
        <w:jc w:val="both"/>
      </w:pPr>
      <w:r w:rsidRPr="00BD0BB8">
        <w:t>Resolutions adopted by the Board</w:t>
      </w:r>
      <w:r w:rsidR="00D22DD7" w:rsidRPr="00BD0BB8">
        <w:t>:</w:t>
      </w:r>
    </w:p>
    <w:p w14:paraId="72E1CAD7" w14:textId="77777777" w:rsidR="00462C16" w:rsidRPr="00BD0BB8" w:rsidRDefault="00BF3AAB" w:rsidP="006A005A">
      <w:pPr>
        <w:pStyle w:val="Heading3"/>
        <w:keepNext w:val="0"/>
        <w:keepLines w:val="0"/>
        <w:widowControl w:val="0"/>
      </w:pPr>
      <w:r w:rsidRPr="00BD0BB8">
        <w:t>must be dated and sequentially numbered; and</w:t>
      </w:r>
    </w:p>
    <w:p w14:paraId="5B2F943D" w14:textId="112095B1" w:rsidR="00462C16" w:rsidRPr="00BD0BB8" w:rsidRDefault="00BF3AAB" w:rsidP="006A005A">
      <w:pPr>
        <w:pStyle w:val="Heading3"/>
        <w:keepNext w:val="0"/>
        <w:keepLines w:val="0"/>
        <w:widowControl w:val="0"/>
      </w:pPr>
      <w:r w:rsidRPr="00BD0BB8">
        <w:t>are effective as of the date of the resolution, unless the resolution states otherwise.</w:t>
      </w:r>
      <w:r w:rsidR="00C3223F" w:rsidRPr="00BD0BB8">
        <w:rPr>
          <w:rStyle w:val="FootnoteReference"/>
        </w:rPr>
        <w:footnoteReference w:id="114"/>
      </w:r>
    </w:p>
    <w:p w14:paraId="4B56C4FF" w14:textId="4A680D15" w:rsidR="00462C16" w:rsidRPr="00BD0BB8" w:rsidRDefault="00BF3AAB" w:rsidP="006A005A">
      <w:pPr>
        <w:pStyle w:val="DA2SecondLevel"/>
        <w:keepNext w:val="0"/>
        <w:widowControl w:val="0"/>
        <w:jc w:val="both"/>
      </w:pPr>
      <w:r w:rsidRPr="00BD0BB8">
        <w:t>Any minutes of a meeting, or a resolution, signed by the chair</w:t>
      </w:r>
      <w:r w:rsidR="00F17795" w:rsidRPr="00BD0BB8">
        <w:t>person</w:t>
      </w:r>
      <w:r w:rsidRPr="00BD0BB8">
        <w:t xml:space="preserve"> of the meeting, or by the chair</w:t>
      </w:r>
      <w:r w:rsidR="00F17795" w:rsidRPr="00BD0BB8">
        <w:t>person</w:t>
      </w:r>
      <w:r w:rsidRPr="00BD0BB8">
        <w:t xml:space="preserve"> of the next meeting of the Board, are/is evidence of the proceedings of that meeting, or adoption of that resolution, as the case may be.</w:t>
      </w:r>
      <w:r w:rsidR="00C3223F" w:rsidRPr="00BD0BB8">
        <w:rPr>
          <w:rStyle w:val="FootnoteReference"/>
          <w:color w:val="auto"/>
        </w:rPr>
        <w:footnoteReference w:id="115"/>
      </w:r>
    </w:p>
    <w:p w14:paraId="5AD0467F" w14:textId="1EA2C634" w:rsidR="001A1743" w:rsidRPr="00BD0BB8" w:rsidRDefault="00BF3AAB" w:rsidP="006A005A">
      <w:pPr>
        <w:pStyle w:val="DA2SecondLevel"/>
        <w:keepNext w:val="0"/>
        <w:widowControl w:val="0"/>
        <w:jc w:val="both"/>
        <w:rPr>
          <w:b/>
        </w:rPr>
      </w:pPr>
      <w:bookmarkStart w:id="227" w:name="_Ref447285548"/>
      <w:bookmarkStart w:id="228" w:name="_Ref179011208"/>
      <w:r w:rsidRPr="00BD0BB8">
        <w:t>A round robin resolution of Directors shall be as valid and effectual as if it had been passed at a meeting of the Directors duly called and constituted</w:t>
      </w:r>
      <w:r w:rsidR="00C3223F" w:rsidRPr="00BD0BB8">
        <w:rPr>
          <w:rStyle w:val="FootnoteReference"/>
          <w:color w:val="auto"/>
        </w:rPr>
        <w:footnoteReference w:id="116"/>
      </w:r>
      <w:r w:rsidRPr="00BD0BB8">
        <w:t>, provided that each Director in the Republic of South Africa who is able to receive notice, has received notice of the matter to be decided upon.</w:t>
      </w:r>
      <w:bookmarkEnd w:id="224"/>
      <w:bookmarkEnd w:id="227"/>
    </w:p>
    <w:p w14:paraId="032D6A81" w14:textId="435650C7" w:rsidR="00A713F0" w:rsidRPr="00BD0BB8" w:rsidRDefault="00BF3AAB" w:rsidP="006A005A">
      <w:pPr>
        <w:pStyle w:val="DA2SecondLevel"/>
        <w:keepNext w:val="0"/>
        <w:widowControl w:val="0"/>
        <w:jc w:val="both"/>
        <w:rPr>
          <w:b/>
        </w:rPr>
      </w:pPr>
      <w:r w:rsidRPr="00BD0BB8">
        <w:t xml:space="preserve">For the purposes </w:t>
      </w:r>
      <w:r w:rsidR="00415FCB" w:rsidRPr="00BD0BB8">
        <w:t xml:space="preserve">of clause </w:t>
      </w:r>
      <w:r w:rsidR="001A1743" w:rsidRPr="00BD0BB8">
        <w:fldChar w:fldCharType="begin"/>
      </w:r>
      <w:r w:rsidR="001A1743" w:rsidRPr="00BD0BB8">
        <w:instrText xml:space="preserve"> REF _Ref447285548 \r \h </w:instrText>
      </w:r>
      <w:r w:rsidR="00C407CA" w:rsidRPr="00BD0BB8">
        <w:instrText xml:space="preserve"> \* MERGEFORMAT </w:instrText>
      </w:r>
      <w:r w:rsidR="001A1743" w:rsidRPr="00BD0BB8">
        <w:fldChar w:fldCharType="separate"/>
      </w:r>
      <w:r w:rsidR="00633773">
        <w:t>25.16</w:t>
      </w:r>
      <w:r w:rsidR="001A1743" w:rsidRPr="00BD0BB8">
        <w:fldChar w:fldCharType="end"/>
      </w:r>
      <w:r w:rsidR="00415FCB" w:rsidRPr="00BD0BB8">
        <w:t xml:space="preserve">, </w:t>
      </w:r>
      <w:r w:rsidRPr="00BD0BB8">
        <w:t>a round robin resolution means a resolution passed other than at a meeting of Directors, in respect of which, subject to clause </w:t>
      </w:r>
      <w:r w:rsidR="001A1743" w:rsidRPr="00BD0BB8">
        <w:fldChar w:fldCharType="begin"/>
      </w:r>
      <w:r w:rsidR="001A1743" w:rsidRPr="00BD0BB8">
        <w:instrText xml:space="preserve"> REF _Ref447285570 \r \h </w:instrText>
      </w:r>
      <w:r w:rsidR="00C407CA" w:rsidRPr="00BD0BB8">
        <w:instrText xml:space="preserve"> \* MERGEFORMAT </w:instrText>
      </w:r>
      <w:r w:rsidR="001A1743" w:rsidRPr="00BD0BB8">
        <w:fldChar w:fldCharType="separate"/>
      </w:r>
      <w:r w:rsidR="00633773">
        <w:t>25.13</w:t>
      </w:r>
      <w:r w:rsidR="001A1743" w:rsidRPr="00BD0BB8">
        <w:fldChar w:fldCharType="end"/>
      </w:r>
      <w:r w:rsidRPr="00BD0BB8">
        <w:t xml:space="preserve">, all the Directors who may at the time be present in </w:t>
      </w:r>
      <w:r w:rsidR="001A1743" w:rsidRPr="00BD0BB8">
        <w:t xml:space="preserve">the Republic of </w:t>
      </w:r>
      <w:r w:rsidRPr="00BD0BB8">
        <w:t>South Africa</w:t>
      </w:r>
      <w:r w:rsidR="001A1743" w:rsidRPr="00BD0BB8">
        <w:t>,</w:t>
      </w:r>
      <w:r w:rsidRPr="00BD0BB8">
        <w:t xml:space="preserve"> being not less than a </w:t>
      </w:r>
      <w:r w:rsidR="00ED5FB6" w:rsidRPr="00BD0BB8">
        <w:t>majority</w:t>
      </w:r>
      <w:r w:rsidRPr="00BD0BB8">
        <w:t xml:space="preserve"> of Directors</w:t>
      </w:r>
      <w:r w:rsidR="001A1743" w:rsidRPr="00BD0BB8">
        <w:t>,</w:t>
      </w:r>
      <w:r w:rsidR="00AA60EF" w:rsidRPr="00BD0BB8">
        <w:t xml:space="preserve"> </w:t>
      </w:r>
      <w:r w:rsidRPr="00BD0BB8">
        <w:t>voted in favour by signing in Writing a resolution in counterparts, within 5 (five) Business Days after the resolution was submitted to them</w:t>
      </w:r>
      <w:bookmarkEnd w:id="228"/>
      <w:r w:rsidR="001E47D5" w:rsidRPr="00BD0BB8">
        <w:t>.</w:t>
      </w:r>
      <w:r w:rsidR="00C3223F" w:rsidRPr="00BD0BB8">
        <w:rPr>
          <w:rStyle w:val="FootnoteReference"/>
          <w:color w:val="auto"/>
        </w:rPr>
        <w:footnoteReference w:id="117"/>
      </w:r>
    </w:p>
    <w:p w14:paraId="005B8DB7" w14:textId="77777777" w:rsidR="001A1743" w:rsidRPr="00BD0BB8" w:rsidRDefault="00BF3AAB" w:rsidP="006A005A">
      <w:pPr>
        <w:pStyle w:val="DA01"/>
        <w:rPr>
          <w:b/>
        </w:rPr>
      </w:pPr>
      <w:r w:rsidRPr="00BD0BB8">
        <w:t>Competitive interests</w:t>
      </w:r>
    </w:p>
    <w:p w14:paraId="53585776" w14:textId="11B29FBE" w:rsidR="00E47314" w:rsidRPr="00BD0BB8" w:rsidRDefault="00BF3AAB" w:rsidP="006A005A">
      <w:pPr>
        <w:pStyle w:val="DA2SecondLevel"/>
        <w:keepNext w:val="0"/>
        <w:widowControl w:val="0"/>
        <w:jc w:val="both"/>
      </w:pPr>
      <w:r w:rsidRPr="00BD0BB8">
        <w:t xml:space="preserve">If any </w:t>
      </w:r>
      <w:r w:rsidR="00B215C5" w:rsidRPr="00BD0BB8">
        <w:t>P</w:t>
      </w:r>
      <w:r w:rsidRPr="00BD0BB8">
        <w:t xml:space="preserve">erson </w:t>
      </w:r>
      <w:r w:rsidR="001A1743" w:rsidRPr="00BD0BB8">
        <w:t xml:space="preserve">elected or </w:t>
      </w:r>
      <w:r w:rsidRPr="00BD0BB8">
        <w:t xml:space="preserve">appointed as a </w:t>
      </w:r>
      <w:r w:rsidR="001A1743" w:rsidRPr="00BD0BB8">
        <w:t>D</w:t>
      </w:r>
      <w:r w:rsidRPr="00BD0BB8">
        <w:t xml:space="preserve">irector of the Company is a </w:t>
      </w:r>
      <w:r w:rsidR="001A1743" w:rsidRPr="00BD0BB8">
        <w:t>D</w:t>
      </w:r>
      <w:r w:rsidRPr="00BD0BB8">
        <w:t xml:space="preserve">irector of a competitive business to that carried on by the Company from time to time, </w:t>
      </w:r>
      <w:r w:rsidR="0089730A" w:rsidRPr="00BD0BB8">
        <w:t xml:space="preserve">the provisions of section 75 of the Act will apply to </w:t>
      </w:r>
      <w:r w:rsidRPr="00BD0BB8">
        <w:t xml:space="preserve">any resolution to be considered by the </w:t>
      </w:r>
      <w:r w:rsidR="001A1743" w:rsidRPr="00BD0BB8">
        <w:lastRenderedPageBreak/>
        <w:t>D</w:t>
      </w:r>
      <w:r w:rsidRPr="00BD0BB8">
        <w:t xml:space="preserve">irectors in which such </w:t>
      </w:r>
      <w:r w:rsidR="00B215C5" w:rsidRPr="00BD0BB8">
        <w:t>P</w:t>
      </w:r>
      <w:r w:rsidRPr="00BD0BB8">
        <w:t>erson could have a conflict of interest by reason of his</w:t>
      </w:r>
      <w:r w:rsidR="00B215C5" w:rsidRPr="00BD0BB8">
        <w:t>/her</w:t>
      </w:r>
      <w:r w:rsidRPr="00BD0BB8">
        <w:t xml:space="preserve"> directorship of the competing company</w:t>
      </w:r>
      <w:r w:rsidR="0089730A" w:rsidRPr="00BD0BB8">
        <w:t>.</w:t>
      </w:r>
    </w:p>
    <w:p w14:paraId="563AC091" w14:textId="77777777" w:rsidR="00BA2908" w:rsidRDefault="00BA2908" w:rsidP="006A005A">
      <w:pPr>
        <w:spacing w:line="240" w:lineRule="auto"/>
        <w:rPr>
          <w:rFonts w:cs="Arial"/>
          <w:b/>
          <w:bCs/>
          <w:caps/>
          <w:u w:val="single"/>
        </w:rPr>
      </w:pPr>
      <w:r>
        <w:rPr>
          <w:u w:val="single"/>
        </w:rPr>
        <w:br w:type="page"/>
      </w:r>
    </w:p>
    <w:p w14:paraId="7F201A42" w14:textId="54E4526B" w:rsidR="00A3603B" w:rsidRPr="00BD0BB8" w:rsidRDefault="00BF3AAB" w:rsidP="006A005A">
      <w:pPr>
        <w:pStyle w:val="Heading1"/>
        <w:keepNext w:val="0"/>
        <w:widowControl w:val="0"/>
        <w:numPr>
          <w:ilvl w:val="0"/>
          <w:numId w:val="0"/>
        </w:numPr>
        <w:ind w:left="709" w:hanging="709"/>
        <w:jc w:val="both"/>
        <w:rPr>
          <w:rFonts w:ascii="Arial" w:hAnsi="Arial"/>
          <w:color w:val="auto"/>
          <w:u w:val="single"/>
        </w:rPr>
      </w:pPr>
      <w:r w:rsidRPr="00BD0BB8">
        <w:rPr>
          <w:rFonts w:ascii="Arial" w:hAnsi="Arial"/>
          <w:color w:val="auto"/>
          <w:u w:val="single"/>
        </w:rPr>
        <w:lastRenderedPageBreak/>
        <w:t>Part 7</w:t>
      </w:r>
      <w:r w:rsidR="00E94561" w:rsidRPr="00BD0BB8">
        <w:rPr>
          <w:rFonts w:ascii="Arial" w:hAnsi="Arial"/>
          <w:color w:val="auto"/>
          <w:u w:val="single"/>
        </w:rPr>
        <w:t xml:space="preserve"> – </w:t>
      </w:r>
      <w:r w:rsidR="008A6E12" w:rsidRPr="00BD0BB8">
        <w:rPr>
          <w:rFonts w:ascii="Arial" w:hAnsi="Arial"/>
          <w:color w:val="auto"/>
          <w:u w:val="single"/>
        </w:rPr>
        <w:t>General</w:t>
      </w:r>
    </w:p>
    <w:p w14:paraId="0D9C421A" w14:textId="44284C55" w:rsidR="009A63D9" w:rsidRPr="00BD0BB8" w:rsidRDefault="009A63D9" w:rsidP="006A005A">
      <w:pPr>
        <w:pStyle w:val="Heading1"/>
        <w:keepNext w:val="0"/>
        <w:widowControl w:val="0"/>
        <w:tabs>
          <w:tab w:val="left" w:pos="851"/>
        </w:tabs>
        <w:jc w:val="both"/>
        <w:rPr>
          <w:rFonts w:ascii="Arial" w:hAnsi="Arial"/>
          <w:bCs w:val="0"/>
          <w:color w:val="000000" w:themeColor="text1"/>
          <w:lang w:eastAsia="en-ZA"/>
        </w:rPr>
      </w:pPr>
      <w:bookmarkStart w:id="229" w:name="_Ref526851669"/>
      <w:bookmarkStart w:id="230" w:name="_Toc256693277"/>
      <w:bookmarkStart w:id="231" w:name="_Toc256693509"/>
      <w:bookmarkStart w:id="232" w:name="_Toc256693655"/>
      <w:bookmarkStart w:id="233" w:name="_Toc256695195"/>
      <w:bookmarkStart w:id="234" w:name="_Toc256695511"/>
      <w:bookmarkEnd w:id="225"/>
      <w:r w:rsidRPr="00BD0BB8">
        <w:rPr>
          <w:rFonts w:ascii="Arial" w:hAnsi="Arial"/>
          <w:bCs w:val="0"/>
          <w:color w:val="000000" w:themeColor="text1"/>
        </w:rPr>
        <w:t>APPOINTMENT OF AUDITOR</w:t>
      </w:r>
    </w:p>
    <w:p w14:paraId="3EA0971E" w14:textId="77777777" w:rsidR="009A63D9" w:rsidRPr="00BD0BB8" w:rsidRDefault="009A63D9" w:rsidP="006A005A">
      <w:pPr>
        <w:pStyle w:val="Heading2"/>
        <w:keepNext w:val="0"/>
        <w:widowControl w:val="0"/>
        <w:tabs>
          <w:tab w:val="left" w:pos="1701"/>
        </w:tabs>
        <w:jc w:val="both"/>
        <w:rPr>
          <w:color w:val="000000" w:themeColor="text1"/>
          <w:szCs w:val="22"/>
        </w:rPr>
      </w:pPr>
      <w:r w:rsidRPr="00BD0BB8">
        <w:rPr>
          <w:color w:val="000000" w:themeColor="text1"/>
          <w:szCs w:val="22"/>
        </w:rPr>
        <w:t xml:space="preserve">The Directors shall appoint an Auditor within 6 (six) months of the Effective Date in a properly constituted Board Meeting, provided that if the Board fails to appoint an Auditor, the Directors must fill the vacancy in the office in terms of the procedure contemplated in section 91. </w:t>
      </w:r>
    </w:p>
    <w:p w14:paraId="31D2322A" w14:textId="77777777" w:rsidR="009A63D9" w:rsidRPr="00BD0BB8" w:rsidRDefault="009A63D9" w:rsidP="006A005A">
      <w:pPr>
        <w:pStyle w:val="Heading2"/>
        <w:keepNext w:val="0"/>
        <w:widowControl w:val="0"/>
        <w:tabs>
          <w:tab w:val="left" w:pos="1701"/>
        </w:tabs>
        <w:jc w:val="both"/>
        <w:rPr>
          <w:color w:val="000000" w:themeColor="text1"/>
          <w:szCs w:val="22"/>
        </w:rPr>
      </w:pPr>
      <w:r w:rsidRPr="00BD0BB8">
        <w:rPr>
          <w:color w:val="000000" w:themeColor="text1"/>
          <w:szCs w:val="22"/>
        </w:rPr>
        <w:t>A retiring Auditor may be automatically re</w:t>
      </w:r>
      <w:r w:rsidRPr="00BD0BB8">
        <w:rPr>
          <w:color w:val="000000" w:themeColor="text1"/>
          <w:szCs w:val="22"/>
        </w:rPr>
        <w:noBreakHyphen/>
        <w:t>appointed at a Shareholders Meeting without any resolution being passed, unless:</w:t>
      </w:r>
    </w:p>
    <w:p w14:paraId="67DB4E0C" w14:textId="77777777" w:rsidR="009A63D9" w:rsidRPr="00BD0BB8" w:rsidRDefault="009A63D9" w:rsidP="006A005A">
      <w:pPr>
        <w:pStyle w:val="Heading3"/>
        <w:keepNext w:val="0"/>
        <w:keepLines w:val="0"/>
        <w:widowControl w:val="0"/>
      </w:pPr>
      <w:r w:rsidRPr="00BD0BB8">
        <w:t>the retiring Auditor is:</w:t>
      </w:r>
    </w:p>
    <w:p w14:paraId="634E0590" w14:textId="77777777" w:rsidR="009A63D9" w:rsidRPr="00BD0BB8" w:rsidRDefault="009A63D9" w:rsidP="006A005A">
      <w:pPr>
        <w:pStyle w:val="Heading3"/>
        <w:keepNext w:val="0"/>
        <w:keepLines w:val="0"/>
        <w:widowControl w:val="0"/>
      </w:pPr>
      <w:r w:rsidRPr="00BD0BB8">
        <w:t>no longer qualified for appointment;</w:t>
      </w:r>
    </w:p>
    <w:p w14:paraId="43385209" w14:textId="77777777" w:rsidR="009A63D9" w:rsidRPr="00BD0BB8" w:rsidRDefault="009A63D9" w:rsidP="006A005A">
      <w:pPr>
        <w:pStyle w:val="Heading3"/>
        <w:keepNext w:val="0"/>
        <w:keepLines w:val="0"/>
        <w:widowControl w:val="0"/>
      </w:pPr>
      <w:r w:rsidRPr="00BD0BB8">
        <w:t>no longer willing to accept the appointment, and has so notified the Company; or</w:t>
      </w:r>
    </w:p>
    <w:p w14:paraId="62AFEC3F" w14:textId="77777777" w:rsidR="009A63D9" w:rsidRPr="00BD0BB8" w:rsidRDefault="009A63D9" w:rsidP="006A005A">
      <w:pPr>
        <w:pStyle w:val="Heading3"/>
        <w:keepNext w:val="0"/>
        <w:keepLines w:val="0"/>
        <w:widowControl w:val="0"/>
      </w:pPr>
      <w:r w:rsidRPr="00BD0BB8">
        <w:t>required to cease serving as Auditor, in terms of section 92 of the Act;</w:t>
      </w:r>
    </w:p>
    <w:p w14:paraId="120729F2" w14:textId="77777777" w:rsidR="009A63D9" w:rsidRPr="00BD0BB8" w:rsidRDefault="009A63D9" w:rsidP="006A005A">
      <w:pPr>
        <w:pStyle w:val="Heading3"/>
        <w:keepNext w:val="0"/>
        <w:keepLines w:val="0"/>
        <w:widowControl w:val="0"/>
      </w:pPr>
      <w:r w:rsidRPr="00BD0BB8">
        <w:t>the Company has notice of an intended resolution to appoint some other person or persons in place of the retiring Auditor.</w:t>
      </w:r>
    </w:p>
    <w:p w14:paraId="37E0E276" w14:textId="77777777" w:rsidR="009A63D9" w:rsidRPr="00BD0BB8" w:rsidRDefault="009A63D9" w:rsidP="006A005A">
      <w:pPr>
        <w:pStyle w:val="Heading2"/>
        <w:keepNext w:val="0"/>
        <w:widowControl w:val="0"/>
        <w:tabs>
          <w:tab w:val="left" w:pos="1701"/>
        </w:tabs>
        <w:jc w:val="both"/>
        <w:rPr>
          <w:color w:val="000000" w:themeColor="text1"/>
          <w:szCs w:val="22"/>
        </w:rPr>
      </w:pPr>
      <w:r w:rsidRPr="00BD0BB8">
        <w:rPr>
          <w:color w:val="000000" w:themeColor="text1"/>
          <w:szCs w:val="22"/>
        </w:rPr>
        <w:t>Any firm of auditors appointed by the Company as the Auditor shall ensure that the Individual responsible for performing the Audit must comply with the requirements of section 90(2) of the Act, provided that:</w:t>
      </w:r>
    </w:p>
    <w:p w14:paraId="495C8F86" w14:textId="77777777" w:rsidR="009A63D9" w:rsidRPr="00BD0BB8" w:rsidRDefault="009A63D9" w:rsidP="006A005A">
      <w:pPr>
        <w:pStyle w:val="Heading3"/>
        <w:keepNext w:val="0"/>
        <w:keepLines w:val="0"/>
        <w:widowControl w:val="0"/>
      </w:pPr>
      <w:r w:rsidRPr="00BD0BB8">
        <w:t>the same Individual may not serve as the Auditor or designated Auditor for more than 5 (five) consecutive financial years;</w:t>
      </w:r>
    </w:p>
    <w:p w14:paraId="7EFAEC88" w14:textId="77777777" w:rsidR="009A63D9" w:rsidRPr="00BD0BB8" w:rsidRDefault="009A63D9" w:rsidP="006A005A">
      <w:pPr>
        <w:pStyle w:val="Heading3"/>
        <w:keepNext w:val="0"/>
        <w:keepLines w:val="0"/>
        <w:widowControl w:val="0"/>
      </w:pPr>
      <w:r w:rsidRPr="00BD0BB8">
        <w:t>if an Individual has served as the Auditor or designated Auditor for 2 (two) or more consecutive financial years and then ceases to be the Auditor or designated Auditor, the Individual may not be appointed again as the Auditor or designated Auditor until after the expiry of at least 2 (two) further financial years.</w:t>
      </w:r>
    </w:p>
    <w:p w14:paraId="7B5109F9" w14:textId="77777777" w:rsidR="009A63D9" w:rsidRPr="00BD0BB8" w:rsidRDefault="009A63D9" w:rsidP="006A005A">
      <w:pPr>
        <w:pStyle w:val="Heading2"/>
        <w:keepNext w:val="0"/>
        <w:widowControl w:val="0"/>
        <w:tabs>
          <w:tab w:val="left" w:pos="1701"/>
        </w:tabs>
        <w:jc w:val="both"/>
        <w:rPr>
          <w:color w:val="000000" w:themeColor="text1"/>
          <w:szCs w:val="22"/>
        </w:rPr>
      </w:pPr>
      <w:r w:rsidRPr="00BD0BB8">
        <w:rPr>
          <w:color w:val="000000" w:themeColor="text1"/>
          <w:szCs w:val="22"/>
        </w:rPr>
        <w:t>The Auditor:</w:t>
      </w:r>
    </w:p>
    <w:p w14:paraId="6EF89D4D" w14:textId="77777777" w:rsidR="009A63D9" w:rsidRPr="00BD0BB8" w:rsidRDefault="009A63D9" w:rsidP="006A005A">
      <w:pPr>
        <w:pStyle w:val="Heading3"/>
        <w:keepNext w:val="0"/>
        <w:keepLines w:val="0"/>
        <w:widowControl w:val="0"/>
      </w:pPr>
      <w:r w:rsidRPr="00BD0BB8">
        <w:t>has the right of access at all times to the accounting records and all books and documents of the Company, and is entitled to require from the Directors or Prescribed Officers any information and explanations necessary for the performance of the Auditor’s duties;</w:t>
      </w:r>
    </w:p>
    <w:p w14:paraId="52B778F3" w14:textId="77777777" w:rsidR="009A63D9" w:rsidRPr="00BD0BB8" w:rsidRDefault="009A63D9" w:rsidP="006A005A">
      <w:pPr>
        <w:pStyle w:val="Heading3"/>
        <w:keepNext w:val="0"/>
        <w:keepLines w:val="0"/>
        <w:widowControl w:val="0"/>
      </w:pPr>
      <w:r w:rsidRPr="00BD0BB8">
        <w:lastRenderedPageBreak/>
        <w:t>if the Company is a Holding Company, has the right of access to all current and former financial statements of any Subsidiary and is entitled to require from the Directors or Prescribed Officers of the Company or Subsidiary any information and explanations in connection with any such statements and in connection with the Accounting Records, books and documents of the Subsidiary as necessary for the performance of the Auditor’s duties;</w:t>
      </w:r>
    </w:p>
    <w:p w14:paraId="63A7E45B" w14:textId="77777777" w:rsidR="009A63D9" w:rsidRPr="00BD0BB8" w:rsidRDefault="009A63D9" w:rsidP="006A005A">
      <w:pPr>
        <w:pStyle w:val="Heading3"/>
        <w:keepNext w:val="0"/>
        <w:keepLines w:val="0"/>
        <w:widowControl w:val="0"/>
      </w:pPr>
      <w:r w:rsidRPr="00BD0BB8">
        <w:t>may not perform any services for the Company that would place the Auditor in a conflict of interest as prescribed or determined by the Independent Regulatory Board for Auditors in terms of section 44(6) of the Auditing Profession Act.</w:t>
      </w:r>
    </w:p>
    <w:p w14:paraId="3AF06E58" w14:textId="77777777" w:rsidR="009A63D9" w:rsidRPr="00BD0BB8" w:rsidRDefault="009A63D9" w:rsidP="006A005A">
      <w:pPr>
        <w:pStyle w:val="Heading2"/>
        <w:keepNext w:val="0"/>
        <w:widowControl w:val="0"/>
        <w:tabs>
          <w:tab w:val="left" w:pos="1701"/>
        </w:tabs>
        <w:jc w:val="both"/>
        <w:rPr>
          <w:color w:val="000000" w:themeColor="text1"/>
          <w:szCs w:val="22"/>
        </w:rPr>
      </w:pPr>
      <w:bookmarkStart w:id="235" w:name="_Ref279590717"/>
      <w:r w:rsidRPr="00BD0BB8">
        <w:rPr>
          <w:color w:val="000000" w:themeColor="text1"/>
          <w:szCs w:val="22"/>
        </w:rPr>
        <w:t>If a vacancy arises in the office of Auditor, the Board:</w:t>
      </w:r>
      <w:bookmarkEnd w:id="235"/>
    </w:p>
    <w:p w14:paraId="34C60667" w14:textId="77777777" w:rsidR="009A63D9" w:rsidRPr="00BD0BB8" w:rsidRDefault="009A63D9" w:rsidP="006A005A">
      <w:pPr>
        <w:pStyle w:val="Heading3"/>
        <w:keepNext w:val="0"/>
        <w:keepLines w:val="0"/>
        <w:widowControl w:val="0"/>
      </w:pPr>
      <w:r w:rsidRPr="00BD0BB8">
        <w:t>must appoint a new Auditor within 40 (forty) Business Days, if there was only 1 (one) incumbent Auditor; and</w:t>
      </w:r>
    </w:p>
    <w:p w14:paraId="2BF06E7E" w14:textId="6C1622CC" w:rsidR="009A63D9" w:rsidRPr="00BD0BB8" w:rsidRDefault="009A63D9" w:rsidP="006A005A">
      <w:pPr>
        <w:pStyle w:val="Heading3"/>
        <w:keepNext w:val="0"/>
        <w:keepLines w:val="0"/>
        <w:widowControl w:val="0"/>
      </w:pPr>
      <w:r w:rsidRPr="00BD0BB8">
        <w:t>may appoint a new Auditor at any time, if there was more than 1 (one) incumbent, but while any such vacancy continues, the surviving or continuing Auditor may act as Auditor of the Compan</w:t>
      </w:r>
      <w:r w:rsidRPr="00BA2908">
        <w:t>y.</w:t>
      </w:r>
    </w:p>
    <w:p w14:paraId="41CB9FC8" w14:textId="77777777" w:rsidR="00462C16" w:rsidRPr="00BD0BB8" w:rsidRDefault="00BF3AAB" w:rsidP="006A005A">
      <w:pPr>
        <w:pStyle w:val="DA1FirstLevelHeading"/>
        <w:keepNext w:val="0"/>
        <w:widowControl w:val="0"/>
        <w:jc w:val="both"/>
      </w:pPr>
      <w:r w:rsidRPr="00BD0BB8">
        <w:t>APPOINTMENT OF SECRETARY</w:t>
      </w:r>
    </w:p>
    <w:p w14:paraId="3BBD847D" w14:textId="4CA81440" w:rsidR="00B86E80" w:rsidRPr="00BD0BB8" w:rsidRDefault="00BF3AAB" w:rsidP="006A005A">
      <w:pPr>
        <w:pStyle w:val="DA0"/>
        <w:widowControl w:val="0"/>
      </w:pPr>
      <w:r w:rsidRPr="00BD0BB8">
        <w:t xml:space="preserve">The Directors </w:t>
      </w:r>
      <w:r w:rsidR="00237DE5" w:rsidRPr="00BD0BB8">
        <w:t xml:space="preserve">shall </w:t>
      </w:r>
      <w:r w:rsidR="009D190F" w:rsidRPr="00BD0BB8">
        <w:t xml:space="preserve">not be </w:t>
      </w:r>
      <w:r w:rsidR="00796E7E" w:rsidRPr="00BD0BB8">
        <w:t xml:space="preserve">obliged </w:t>
      </w:r>
      <w:r w:rsidR="009D190F" w:rsidRPr="00BD0BB8">
        <w:t xml:space="preserve">to </w:t>
      </w:r>
      <w:r w:rsidRPr="00BD0BB8">
        <w:t>appoint</w:t>
      </w:r>
      <w:r w:rsidR="00C4444F" w:rsidRPr="00BD0BB8">
        <w:t xml:space="preserve"> </w:t>
      </w:r>
      <w:r w:rsidR="00237DE5" w:rsidRPr="00BD0BB8">
        <w:t>a company s</w:t>
      </w:r>
      <w:r w:rsidRPr="00BD0BB8">
        <w:t xml:space="preserve">ecretary </w:t>
      </w:r>
      <w:r w:rsidR="00237DE5" w:rsidRPr="00BD0BB8">
        <w:t xml:space="preserve">for </w:t>
      </w:r>
      <w:r w:rsidRPr="00BD0BB8">
        <w:t>the Company.</w:t>
      </w:r>
      <w:r w:rsidR="00C3223F" w:rsidRPr="00BD0BB8">
        <w:rPr>
          <w:rStyle w:val="FootnoteReference"/>
        </w:rPr>
        <w:footnoteReference w:id="118"/>
      </w:r>
    </w:p>
    <w:bookmarkEnd w:id="229"/>
    <w:bookmarkEnd w:id="230"/>
    <w:bookmarkEnd w:id="231"/>
    <w:bookmarkEnd w:id="232"/>
    <w:bookmarkEnd w:id="233"/>
    <w:bookmarkEnd w:id="234"/>
    <w:p w14:paraId="2320BB87" w14:textId="77777777" w:rsidR="00076D92" w:rsidRPr="00BD0BB8" w:rsidRDefault="00076D92" w:rsidP="006A005A">
      <w:pPr>
        <w:pStyle w:val="DA1FirstLevelHeading"/>
        <w:keepNext w:val="0"/>
        <w:widowControl w:val="0"/>
        <w:jc w:val="both"/>
      </w:pPr>
      <w:r w:rsidRPr="00BD0BB8">
        <w:t>LOSS OF DOCUMENTS</w:t>
      </w:r>
    </w:p>
    <w:p w14:paraId="39C6EFE0" w14:textId="77777777" w:rsidR="00076D92" w:rsidRPr="00BD0BB8" w:rsidRDefault="00076D92" w:rsidP="006A005A">
      <w:pPr>
        <w:pStyle w:val="DA0"/>
        <w:widowControl w:val="0"/>
      </w:pPr>
      <w:r w:rsidRPr="00BD0BB8">
        <w:t>The Company shall not be responsible for the loss in transmission of any cheque, warrant, certificate or (without any limitation) other document sent through the post either to the registered address of any Holder or to any other address requested by the Holder.</w:t>
      </w:r>
    </w:p>
    <w:p w14:paraId="1FED494E" w14:textId="77777777" w:rsidR="00462C16" w:rsidRPr="00BD0BB8" w:rsidRDefault="00BF3AAB" w:rsidP="006A005A">
      <w:pPr>
        <w:pStyle w:val="DA1FirstLevelHeading"/>
        <w:keepNext w:val="0"/>
        <w:widowControl w:val="0"/>
        <w:jc w:val="both"/>
      </w:pPr>
      <w:bookmarkStart w:id="236" w:name="_Toc256693282"/>
      <w:bookmarkStart w:id="237" w:name="_Toc256693514"/>
      <w:bookmarkStart w:id="238" w:name="_Toc256693660"/>
      <w:bookmarkStart w:id="239" w:name="_Toc256695200"/>
      <w:bookmarkStart w:id="240" w:name="_Toc256695516"/>
      <w:bookmarkStart w:id="241" w:name="_Ref278142620"/>
      <w:bookmarkStart w:id="242" w:name="_Ref279539802"/>
      <w:bookmarkStart w:id="243" w:name="_Ref280098034"/>
      <w:bookmarkStart w:id="244" w:name="_Ref228271856"/>
      <w:bookmarkStart w:id="245" w:name="_Ref444786266"/>
      <w:bookmarkStart w:id="246" w:name="_Ref446590186"/>
      <w:r w:rsidRPr="00BD0BB8">
        <w:t>NOTICES</w:t>
      </w:r>
      <w:bookmarkEnd w:id="236"/>
      <w:bookmarkEnd w:id="237"/>
      <w:bookmarkEnd w:id="238"/>
      <w:bookmarkEnd w:id="239"/>
      <w:bookmarkEnd w:id="240"/>
      <w:bookmarkEnd w:id="241"/>
      <w:bookmarkEnd w:id="242"/>
      <w:bookmarkEnd w:id="243"/>
      <w:bookmarkEnd w:id="244"/>
      <w:bookmarkEnd w:id="245"/>
      <w:bookmarkEnd w:id="246"/>
    </w:p>
    <w:p w14:paraId="6D220282" w14:textId="2E3E65C6" w:rsidR="00462C16" w:rsidRPr="00BD0BB8" w:rsidRDefault="00BF3AAB" w:rsidP="006A005A">
      <w:pPr>
        <w:pStyle w:val="DA2SecondLevel"/>
        <w:keepNext w:val="0"/>
        <w:widowControl w:val="0"/>
        <w:jc w:val="both"/>
      </w:pPr>
      <w:bookmarkStart w:id="247" w:name="_Ref283739152"/>
      <w:bookmarkStart w:id="248" w:name="_Ref526851917"/>
      <w:r w:rsidRPr="00BD0BB8">
        <w:t xml:space="preserve">The Company may give notices, documents, records or statements or notices of availability of the aforegoing by personal delivery to the Holder or by sending them prepaid through the </w:t>
      </w:r>
      <w:r w:rsidR="001E4E8B" w:rsidRPr="00BD0BB8">
        <w:t>post or by transmitting them by electronic mail</w:t>
      </w:r>
      <w:r w:rsidRPr="00BD0BB8">
        <w:t>.</w:t>
      </w:r>
      <w:bookmarkEnd w:id="247"/>
    </w:p>
    <w:p w14:paraId="4CC738E0" w14:textId="2AD328AF" w:rsidR="00462C16" w:rsidRPr="00BD0BB8" w:rsidRDefault="00BF3AAB" w:rsidP="006A005A">
      <w:pPr>
        <w:pStyle w:val="DA2SecondLevel"/>
        <w:keepNext w:val="0"/>
        <w:widowControl w:val="0"/>
        <w:jc w:val="both"/>
      </w:pPr>
      <w:bookmarkStart w:id="249" w:name="_Ref283739162"/>
      <w:r w:rsidRPr="00BD0BB8">
        <w:lastRenderedPageBreak/>
        <w:t xml:space="preserve">Any Holder who/which has furnished an </w:t>
      </w:r>
      <w:r w:rsidR="002519FA" w:rsidRPr="00BD0BB8">
        <w:t>Email Address</w:t>
      </w:r>
      <w:r w:rsidRPr="00BD0BB8">
        <w:t xml:space="preserve"> to the Company, by doing so</w:t>
      </w:r>
      <w:r w:rsidR="00D22DD7" w:rsidRPr="00BD0BB8">
        <w:t>:</w:t>
      </w:r>
      <w:bookmarkEnd w:id="249"/>
    </w:p>
    <w:p w14:paraId="11DDC8C3" w14:textId="77777777" w:rsidR="00462C16" w:rsidRPr="00BD0BB8" w:rsidRDefault="00BF3AAB" w:rsidP="006A005A">
      <w:pPr>
        <w:pStyle w:val="Heading3"/>
        <w:keepNext w:val="0"/>
        <w:keepLines w:val="0"/>
        <w:widowControl w:val="0"/>
      </w:pPr>
      <w:r w:rsidRPr="00BD0BB8">
        <w:t>authorises the Company to use Electronic Communication to give notices, documents, records or statements or notices of availability of the aforegoing to him</w:t>
      </w:r>
      <w:r w:rsidR="00997412" w:rsidRPr="00BD0BB8">
        <w:t>/her</w:t>
      </w:r>
      <w:r w:rsidRPr="00BD0BB8">
        <w:t>/it; and</w:t>
      </w:r>
    </w:p>
    <w:p w14:paraId="046B9D16" w14:textId="01CC8D8E" w:rsidR="00462C16" w:rsidRPr="00BD0BB8" w:rsidRDefault="00BF3AAB" w:rsidP="006A005A">
      <w:pPr>
        <w:pStyle w:val="Heading3"/>
        <w:keepNext w:val="0"/>
        <w:keepLines w:val="0"/>
        <w:widowControl w:val="0"/>
      </w:pPr>
      <w:r w:rsidRPr="00BD0BB8">
        <w:t>confirms that same can conveniently be printed by the Holder within a reasonable time and at a reasonable cost.</w:t>
      </w:r>
      <w:bookmarkStart w:id="250" w:name="_Ref255820625"/>
      <w:bookmarkEnd w:id="248"/>
    </w:p>
    <w:p w14:paraId="2F7609F8" w14:textId="77777777" w:rsidR="00462C16" w:rsidRPr="00BD0BB8" w:rsidRDefault="00BF3AAB" w:rsidP="006A005A">
      <w:pPr>
        <w:pStyle w:val="DA2SecondLevel"/>
        <w:keepNext w:val="0"/>
        <w:widowControl w:val="0"/>
        <w:jc w:val="both"/>
      </w:pPr>
      <w:bookmarkStart w:id="251" w:name="_Ref278287502"/>
      <w:r w:rsidRPr="00BD0BB8">
        <w:t>Any notice, document, record or statement or notice of availability of the aforegoing sent by the Company shall be deemed to have been delivered on the date and time determined in accordance with</w:t>
      </w:r>
      <w:r w:rsidR="00F17795" w:rsidRPr="00BD0BB8">
        <w:t xml:space="preserve"> the Regulations</w:t>
      </w:r>
      <w:r w:rsidRPr="00BD0BB8">
        <w:t>.</w:t>
      </w:r>
      <w:bookmarkEnd w:id="250"/>
      <w:bookmarkEnd w:id="251"/>
    </w:p>
    <w:p w14:paraId="5E6932AD" w14:textId="66CF3629" w:rsidR="00462C16" w:rsidRPr="00BD0BB8" w:rsidRDefault="00BF3AAB" w:rsidP="006A005A">
      <w:pPr>
        <w:pStyle w:val="DA2SecondLevel"/>
        <w:keepNext w:val="0"/>
        <w:widowControl w:val="0"/>
        <w:jc w:val="both"/>
      </w:pPr>
      <w:bookmarkStart w:id="252" w:name="_Ref255819172"/>
      <w:r w:rsidRPr="00BD0BB8">
        <w:t>A Holder or Person entitled to Securities (or his/her executor) shall be bound by every notice in respect of the Securities Delivered to the Person who was, at the date on which that notice was Delivered, shown in the Securities Register or established to the satisfaction of the Directors (as the case may be) as the Holder of or Person entitled to the Securities, notwithstanding that the Holder or Person entitled to Securities may then have been dead or may subsequently have died or have been or become otherwise incapable of acting in respect of the Securities, and notwithstanding any transfer of the Securities was not registered at that date. The Company shall not be bound to enter any Person in the Securities Register as entitled to any Securities until that Person gives the Company an address for entry on the Securities Register.</w:t>
      </w:r>
      <w:bookmarkEnd w:id="252"/>
    </w:p>
    <w:p w14:paraId="04CA10E9" w14:textId="77777777" w:rsidR="00462C16" w:rsidRPr="00BD0BB8" w:rsidRDefault="00BF3AAB" w:rsidP="006A005A">
      <w:pPr>
        <w:pStyle w:val="DA2SecondLevel"/>
        <w:keepNext w:val="0"/>
        <w:widowControl w:val="0"/>
        <w:jc w:val="both"/>
      </w:pPr>
      <w:bookmarkStart w:id="253" w:name="_Ref255819604"/>
      <w:r w:rsidRPr="00BD0BB8">
        <w:t>The Company shall not be bound to use any method of giving notice, documents, records or statements or notices of availability of the aforegoing, contemplated in the Regulations in respect of which provision is made for deemed delivery, but if the Company does use such a method, the notice, document, record or statement or notice of availability of the aforegoing shall be deemed to be delivered on the day determined in ac</w:t>
      </w:r>
      <w:r w:rsidR="00D1324A" w:rsidRPr="00BD0BB8">
        <w:t>cordance with the Regulations.</w:t>
      </w:r>
    </w:p>
    <w:p w14:paraId="56F76A00" w14:textId="52EB1B70" w:rsidR="00334309" w:rsidRPr="00BD0BB8" w:rsidRDefault="00BF3AAB" w:rsidP="006A005A">
      <w:pPr>
        <w:pStyle w:val="DA2SecondLevel"/>
        <w:keepNext w:val="0"/>
        <w:widowControl w:val="0"/>
        <w:jc w:val="both"/>
      </w:pPr>
      <w:bookmarkStart w:id="254" w:name="_Ref255820608"/>
      <w:bookmarkEnd w:id="253"/>
      <w:r w:rsidRPr="00BD0BB8">
        <w:t>With regard to</w:t>
      </w:r>
      <w:r w:rsidR="00462C16" w:rsidRPr="00BD0BB8">
        <w:t xml:space="preserve"> the signature of an Electronic Communication by a Holder, it shall be in such form as the Directors may specify to demonstrate that the Electronic Communication is genuine, or failing any such specification by the Directors, it shall be constituted by the Holder indicating in the Electronic Communication that it is the Holder</w:t>
      </w:r>
      <w:r w:rsidR="00B215C5" w:rsidRPr="00BD0BB8">
        <w:t>'</w:t>
      </w:r>
      <w:r w:rsidR="00462C16" w:rsidRPr="00BD0BB8">
        <w:t>s intention to use the Electronic Communication as the medium to indicate the Holder</w:t>
      </w:r>
      <w:r w:rsidR="00B215C5" w:rsidRPr="00BD0BB8">
        <w:t>'</w:t>
      </w:r>
      <w:r w:rsidR="00462C16" w:rsidRPr="00BD0BB8">
        <w:t>s approval of the information in, or the Holder</w:t>
      </w:r>
      <w:r w:rsidR="00B215C5" w:rsidRPr="00BD0BB8">
        <w:t>'</w:t>
      </w:r>
      <w:r w:rsidR="00462C16" w:rsidRPr="00BD0BB8">
        <w:t>s signature of the document in or attached to, the Electronic Communication which contains the name of the Holder sending it in the body of the Electronic Communication.</w:t>
      </w:r>
      <w:bookmarkStart w:id="255" w:name="_Ref256526036"/>
      <w:bookmarkStart w:id="256" w:name="_Toc256693285"/>
      <w:bookmarkStart w:id="257" w:name="_Toc256693517"/>
      <w:bookmarkStart w:id="258" w:name="_Toc256693663"/>
      <w:bookmarkStart w:id="259" w:name="_Toc256695203"/>
      <w:bookmarkStart w:id="260" w:name="_Toc256695519"/>
      <w:bookmarkStart w:id="261" w:name="_Ref230708578"/>
      <w:bookmarkEnd w:id="254"/>
    </w:p>
    <w:p w14:paraId="6CAA540B" w14:textId="7F28DF8B" w:rsidR="00462C16" w:rsidRPr="00BD0BB8" w:rsidRDefault="00BF3AAB" w:rsidP="006A005A">
      <w:pPr>
        <w:pStyle w:val="DA1FirstLevelHeading"/>
        <w:keepNext w:val="0"/>
        <w:widowControl w:val="0"/>
        <w:jc w:val="both"/>
      </w:pPr>
      <w:bookmarkStart w:id="262" w:name="_Ref374345663"/>
      <w:r w:rsidRPr="00BD0BB8">
        <w:lastRenderedPageBreak/>
        <w:t>INDEMNITY</w:t>
      </w:r>
      <w:bookmarkEnd w:id="255"/>
      <w:bookmarkEnd w:id="256"/>
      <w:bookmarkEnd w:id="257"/>
      <w:bookmarkEnd w:id="258"/>
      <w:bookmarkEnd w:id="259"/>
      <w:bookmarkEnd w:id="260"/>
      <w:r w:rsidR="00261A06" w:rsidRPr="00BD0BB8">
        <w:t xml:space="preserve"> AND INSURANCE</w:t>
      </w:r>
      <w:bookmarkEnd w:id="261"/>
      <w:bookmarkEnd w:id="262"/>
      <w:r w:rsidR="006F3D5F" w:rsidRPr="00BD0BB8">
        <w:rPr>
          <w:color w:val="auto"/>
        </w:rPr>
        <w:t xml:space="preserve"> </w:t>
      </w:r>
      <w:r w:rsidR="006F3D5F" w:rsidRPr="00BD0BB8">
        <w:rPr>
          <w:rStyle w:val="FootnoteReference"/>
          <w:color w:val="auto"/>
        </w:rPr>
        <w:footnoteReference w:id="119"/>
      </w:r>
    </w:p>
    <w:p w14:paraId="5D67263A" w14:textId="2612EA4D" w:rsidR="00462C16" w:rsidRPr="00BD0BB8" w:rsidRDefault="00BF3AAB" w:rsidP="006A005A">
      <w:pPr>
        <w:pStyle w:val="DA2SecondLevel"/>
        <w:keepNext w:val="0"/>
        <w:widowControl w:val="0"/>
        <w:jc w:val="both"/>
      </w:pPr>
      <w:r w:rsidRPr="00BD0BB8">
        <w:t>For the purposes of this clause </w:t>
      </w:r>
      <w:r w:rsidR="00A519DD" w:rsidRPr="00BD0BB8">
        <w:fldChar w:fldCharType="begin"/>
      </w:r>
      <w:r w:rsidR="00A519DD" w:rsidRPr="00BD0BB8">
        <w:instrText xml:space="preserve"> REF _Ref374345663 \r \h </w:instrText>
      </w:r>
      <w:r w:rsidR="007A11F0" w:rsidRPr="00BD0BB8">
        <w:instrText xml:space="preserve"> \* MERGEFORMAT </w:instrText>
      </w:r>
      <w:r w:rsidR="00A519DD" w:rsidRPr="00BD0BB8">
        <w:fldChar w:fldCharType="separate"/>
      </w:r>
      <w:r w:rsidR="00633773">
        <w:t>30</w:t>
      </w:r>
      <w:r w:rsidR="00A519DD" w:rsidRPr="00BD0BB8">
        <w:fldChar w:fldCharType="end"/>
      </w:r>
      <w:r w:rsidRPr="00BD0BB8">
        <w:t xml:space="preserve">, </w:t>
      </w:r>
      <w:r w:rsidR="006A005A">
        <w:t>"</w:t>
      </w:r>
      <w:r w:rsidRPr="00BD0BB8">
        <w:rPr>
          <w:b/>
        </w:rPr>
        <w:t>Director</w:t>
      </w:r>
      <w:r w:rsidR="006A005A">
        <w:t>"</w:t>
      </w:r>
      <w:r w:rsidRPr="00BD0BB8">
        <w:t xml:space="preserve"> includes a former Director, a Prescribed Officer, </w:t>
      </w:r>
      <w:r w:rsidR="001E47D5" w:rsidRPr="00BD0BB8">
        <w:t xml:space="preserve">or </w:t>
      </w:r>
      <w:r w:rsidRPr="00BD0BB8">
        <w:t>a person who is a member of a committee of the Board, irrespective of whether or not the person is also a member of the Board.</w:t>
      </w:r>
      <w:r w:rsidR="006F3D5F" w:rsidRPr="00BD0BB8">
        <w:rPr>
          <w:rStyle w:val="FootnoteReference"/>
          <w:color w:val="auto"/>
        </w:rPr>
        <w:footnoteReference w:id="120"/>
      </w:r>
    </w:p>
    <w:p w14:paraId="59325F34" w14:textId="77777777" w:rsidR="00462C16" w:rsidRPr="00BD0BB8" w:rsidRDefault="00BF3AAB" w:rsidP="006A005A">
      <w:pPr>
        <w:pStyle w:val="DA2SecondLevel"/>
        <w:keepNext w:val="0"/>
        <w:widowControl w:val="0"/>
        <w:jc w:val="both"/>
      </w:pPr>
      <w:bookmarkStart w:id="263" w:name="_Ref279536169"/>
      <w:r w:rsidRPr="00BD0BB8">
        <w:t>The Company may</w:t>
      </w:r>
      <w:bookmarkEnd w:id="263"/>
      <w:r w:rsidR="00D22DD7" w:rsidRPr="00BD0BB8">
        <w:t>:</w:t>
      </w:r>
    </w:p>
    <w:p w14:paraId="7C7B2973" w14:textId="25127FC4" w:rsidR="00462C16" w:rsidRPr="00BD0BB8" w:rsidRDefault="00BF3AAB" w:rsidP="006A005A">
      <w:pPr>
        <w:pStyle w:val="Heading3"/>
        <w:keepNext w:val="0"/>
        <w:keepLines w:val="0"/>
        <w:widowControl w:val="0"/>
      </w:pPr>
      <w:bookmarkStart w:id="264" w:name="_Ref279535926"/>
      <w:bookmarkStart w:id="265" w:name="_Ref256525887"/>
      <w:r w:rsidRPr="00BD0BB8">
        <w:t>not directly or indirectly pay any fine that may be imposed on a Director, or on a Director of a related company, as a consequence of that Director having been convicted of an offence in terms of any national legislation;</w:t>
      </w:r>
      <w:bookmarkEnd w:id="264"/>
      <w:r w:rsidR="006F3D5F" w:rsidRPr="00BD0BB8">
        <w:rPr>
          <w:rStyle w:val="FootnoteReference"/>
        </w:rPr>
        <w:footnoteReference w:id="121"/>
      </w:r>
    </w:p>
    <w:p w14:paraId="1BF21FA2" w14:textId="74EE0949" w:rsidR="00462C16" w:rsidRPr="00BD0BB8" w:rsidRDefault="00BF3AAB" w:rsidP="006A005A">
      <w:pPr>
        <w:pStyle w:val="Heading3"/>
        <w:keepNext w:val="0"/>
        <w:keepLines w:val="0"/>
        <w:widowControl w:val="0"/>
      </w:pPr>
      <w:bookmarkStart w:id="266" w:name="_Ref279535756"/>
      <w:r w:rsidRPr="00BD0BB8">
        <w:t>advance expenses to a Director to defend litigation in any proceedings arising out of the Director’s service to the Company</w:t>
      </w:r>
      <w:r w:rsidR="006F3D5F" w:rsidRPr="00BD0BB8">
        <w:t xml:space="preserve"> </w:t>
      </w:r>
      <w:r w:rsidR="006F3D5F" w:rsidRPr="00BD0BB8">
        <w:rPr>
          <w:rStyle w:val="FootnoteReference"/>
        </w:rPr>
        <w:footnoteReference w:id="122"/>
      </w:r>
      <w:r w:rsidRPr="00BD0BB8">
        <w:t>; and</w:t>
      </w:r>
      <w:bookmarkEnd w:id="265"/>
      <w:bookmarkEnd w:id="266"/>
    </w:p>
    <w:p w14:paraId="32B45142" w14:textId="77777777" w:rsidR="00462C16" w:rsidRPr="00BD0BB8" w:rsidRDefault="00BF3AAB" w:rsidP="006A005A">
      <w:pPr>
        <w:pStyle w:val="Heading3"/>
        <w:keepNext w:val="0"/>
        <w:keepLines w:val="0"/>
        <w:widowControl w:val="0"/>
      </w:pPr>
      <w:bookmarkStart w:id="267" w:name="_Ref279536230"/>
      <w:bookmarkStart w:id="268" w:name="_Ref257621846"/>
      <w:r w:rsidRPr="00BD0BB8">
        <w:t>directly or indirectly indemnify a Director for</w:t>
      </w:r>
      <w:r w:rsidR="00D22DD7" w:rsidRPr="00BD0BB8">
        <w:t>:</w:t>
      </w:r>
      <w:bookmarkEnd w:id="267"/>
    </w:p>
    <w:p w14:paraId="4A9E2EC9" w14:textId="631AEED7" w:rsidR="00462C16" w:rsidRPr="00BD0BB8" w:rsidRDefault="00BF3AAB" w:rsidP="006A005A">
      <w:pPr>
        <w:pStyle w:val="DA4ThirdLevelNumbering"/>
        <w:rPr>
          <w:rFonts w:cs="Arial"/>
          <w:szCs w:val="22"/>
        </w:rPr>
      </w:pPr>
      <w:bookmarkStart w:id="269" w:name="_Ref279535419"/>
      <w:bookmarkStart w:id="270" w:name="_Ref279536392"/>
      <w:r w:rsidRPr="00BD0BB8">
        <w:rPr>
          <w:rFonts w:cs="Arial"/>
          <w:szCs w:val="22"/>
        </w:rPr>
        <w:t>any liability</w:t>
      </w:r>
      <w:r w:rsidR="006F3D5F" w:rsidRPr="00BD0BB8">
        <w:rPr>
          <w:rStyle w:val="FootnoteReference"/>
          <w:rFonts w:cs="Arial"/>
          <w:szCs w:val="22"/>
        </w:rPr>
        <w:footnoteReference w:id="123"/>
      </w:r>
      <w:r w:rsidRPr="00BD0BB8">
        <w:rPr>
          <w:rFonts w:cs="Arial"/>
          <w:szCs w:val="22"/>
        </w:rPr>
        <w:t>, other than</w:t>
      </w:r>
      <w:bookmarkEnd w:id="269"/>
      <w:r w:rsidRPr="00BD0BB8">
        <w:rPr>
          <w:rFonts w:cs="Arial"/>
          <w:szCs w:val="22"/>
        </w:rPr>
        <w:t xml:space="preserve"> in respect of</w:t>
      </w:r>
      <w:r w:rsidR="00D22DD7" w:rsidRPr="00BD0BB8">
        <w:rPr>
          <w:rFonts w:cs="Arial"/>
          <w:szCs w:val="22"/>
        </w:rPr>
        <w:t>:</w:t>
      </w:r>
      <w:bookmarkEnd w:id="270"/>
    </w:p>
    <w:p w14:paraId="3175BEBF" w14:textId="3678CE13" w:rsidR="00462C16" w:rsidRPr="00BD0BB8" w:rsidRDefault="00BF3AAB" w:rsidP="006A005A">
      <w:pPr>
        <w:pStyle w:val="DA5FifthLevelNumbering"/>
        <w:widowControl w:val="0"/>
      </w:pPr>
      <w:r w:rsidRPr="00BD0BB8">
        <w:t xml:space="preserve">any liability arising in terms of section 77(3)(a), (b) or (c) of the </w:t>
      </w:r>
      <w:r w:rsidR="0050570C" w:rsidRPr="00BD0BB8">
        <w:t>Act</w:t>
      </w:r>
      <w:r w:rsidRPr="00BD0BB8">
        <w:t xml:space="preserve"> or from wilful misconduct or wilful breach of tr</w:t>
      </w:r>
      <w:r w:rsidR="000513A7" w:rsidRPr="00BD0BB8">
        <w:t>ust on the part of the Director</w:t>
      </w:r>
      <w:r w:rsidR="006F3D5F" w:rsidRPr="00BD0BB8">
        <w:rPr>
          <w:rStyle w:val="FootnoteReference"/>
        </w:rPr>
        <w:footnoteReference w:id="124"/>
      </w:r>
      <w:r w:rsidR="00197DA9" w:rsidRPr="00BD0BB8">
        <w:t>; or</w:t>
      </w:r>
    </w:p>
    <w:p w14:paraId="0D23642E" w14:textId="01BAA0BB" w:rsidR="00280FBD" w:rsidRPr="00BD0BB8" w:rsidRDefault="00BF3AAB" w:rsidP="006A005A">
      <w:pPr>
        <w:pStyle w:val="DA5FifthLevelNumbering"/>
        <w:widowControl w:val="0"/>
      </w:pPr>
      <w:bookmarkStart w:id="271" w:name="_Ref447289270"/>
      <w:r w:rsidRPr="00BD0BB8">
        <w:t>any fine contemplated in clause </w:t>
      </w:r>
      <w:r w:rsidR="00247C23" w:rsidRPr="00BD0BB8">
        <w:fldChar w:fldCharType="begin"/>
      </w:r>
      <w:r w:rsidR="00247C23" w:rsidRPr="00BD0BB8">
        <w:instrText xml:space="preserve"> REF _Ref279535926 \r \h </w:instrText>
      </w:r>
      <w:r w:rsidR="000314C5" w:rsidRPr="00BD0BB8">
        <w:instrText xml:space="preserve"> \* MERGEFORMAT </w:instrText>
      </w:r>
      <w:r w:rsidR="00247C23" w:rsidRPr="00BD0BB8">
        <w:fldChar w:fldCharType="separate"/>
      </w:r>
      <w:r w:rsidR="00633773">
        <w:t>30.2.1</w:t>
      </w:r>
      <w:r w:rsidR="00247C23" w:rsidRPr="00BD0BB8">
        <w:fldChar w:fldCharType="end"/>
      </w:r>
      <w:r w:rsidR="006F3D5F" w:rsidRPr="00BD0BB8">
        <w:rPr>
          <w:rStyle w:val="FootnoteReference"/>
        </w:rPr>
        <w:footnoteReference w:id="125"/>
      </w:r>
      <w:r w:rsidR="00197DA9" w:rsidRPr="00BD0BB8">
        <w:t>;</w:t>
      </w:r>
      <w:bookmarkStart w:id="272" w:name="_Ref279536484"/>
      <w:bookmarkEnd w:id="271"/>
      <w:r w:rsidR="000513A7" w:rsidRPr="00BD0BB8">
        <w:t xml:space="preserve"> or</w:t>
      </w:r>
    </w:p>
    <w:p w14:paraId="21C6F46E" w14:textId="0A07EBAC" w:rsidR="00462C16" w:rsidRPr="00BD0BB8" w:rsidRDefault="00BF3AAB" w:rsidP="006A005A">
      <w:pPr>
        <w:pStyle w:val="DA5FifthLevelNumbering"/>
        <w:widowControl w:val="0"/>
      </w:pPr>
      <w:r w:rsidRPr="00BD0BB8">
        <w:t>any expenses contemplated in clause </w:t>
      </w:r>
      <w:r w:rsidR="00247C23" w:rsidRPr="00BD0BB8">
        <w:fldChar w:fldCharType="begin"/>
      </w:r>
      <w:r w:rsidR="00247C23" w:rsidRPr="00BD0BB8">
        <w:instrText xml:space="preserve"> REF _Ref279535756 \r \h </w:instrText>
      </w:r>
      <w:r w:rsidR="000314C5" w:rsidRPr="00BD0BB8">
        <w:instrText xml:space="preserve"> \* MERGEFORMAT </w:instrText>
      </w:r>
      <w:r w:rsidR="00247C23" w:rsidRPr="00BD0BB8">
        <w:fldChar w:fldCharType="separate"/>
      </w:r>
      <w:r w:rsidR="00633773">
        <w:t>30.2.2</w:t>
      </w:r>
      <w:r w:rsidR="00247C23" w:rsidRPr="00BD0BB8">
        <w:fldChar w:fldCharType="end"/>
      </w:r>
      <w:r w:rsidRPr="00BD0BB8">
        <w:t xml:space="preserve">, irrespective of whether it has advanced those </w:t>
      </w:r>
      <w:r w:rsidRPr="00BD0BB8">
        <w:lastRenderedPageBreak/>
        <w:t>expenses, if the proceedings</w:t>
      </w:r>
      <w:bookmarkEnd w:id="268"/>
      <w:r w:rsidR="006F3D5F" w:rsidRPr="00BD0BB8">
        <w:rPr>
          <w:rStyle w:val="FootnoteReference"/>
        </w:rPr>
        <w:footnoteReference w:id="126"/>
      </w:r>
      <w:r w:rsidR="00D22DD7" w:rsidRPr="00BD0BB8">
        <w:t>:</w:t>
      </w:r>
      <w:bookmarkEnd w:id="272"/>
    </w:p>
    <w:p w14:paraId="689BF0E2" w14:textId="77777777" w:rsidR="00462C16" w:rsidRPr="00BD0BB8" w:rsidRDefault="00BF3AAB" w:rsidP="006A005A">
      <w:pPr>
        <w:pStyle w:val="Heading6"/>
        <w:widowControl w:val="0"/>
        <w:ind w:left="5954" w:hanging="1560"/>
      </w:pPr>
      <w:r w:rsidRPr="00BD0BB8">
        <w:t>a</w:t>
      </w:r>
      <w:r w:rsidR="00F650F9" w:rsidRPr="00BD0BB8">
        <w:t xml:space="preserve">re abandoned or exculpate the </w:t>
      </w:r>
      <w:r w:rsidRPr="00BD0BB8">
        <w:t>Director; or</w:t>
      </w:r>
    </w:p>
    <w:p w14:paraId="4174EE89" w14:textId="2AC8CD10" w:rsidR="0035646C" w:rsidRPr="00BD0BB8" w:rsidRDefault="00BF3AAB" w:rsidP="006A005A">
      <w:pPr>
        <w:pStyle w:val="Heading6"/>
        <w:widowControl w:val="0"/>
        <w:ind w:left="5954" w:hanging="1560"/>
        <w:rPr>
          <w:b/>
        </w:rPr>
      </w:pPr>
      <w:bookmarkStart w:id="273" w:name="_Ref256526526"/>
      <w:r w:rsidRPr="00BD0BB8">
        <w:t>arise in respect of any other liability for which the Company may indemnify the Director in terms of clause </w:t>
      </w:r>
      <w:bookmarkEnd w:id="273"/>
      <w:r w:rsidR="00247C23" w:rsidRPr="00BD0BB8">
        <w:rPr>
          <w:b/>
        </w:rPr>
        <w:fldChar w:fldCharType="begin"/>
      </w:r>
      <w:r w:rsidR="00247C23" w:rsidRPr="00BD0BB8">
        <w:instrText xml:space="preserve"> REF _Ref279536392 \r \h </w:instrText>
      </w:r>
      <w:r w:rsidR="00AD5D04" w:rsidRPr="00BD0BB8">
        <w:rPr>
          <w:b/>
        </w:rPr>
        <w:instrText xml:space="preserve"> \* MERGEFORMAT </w:instrText>
      </w:r>
      <w:r w:rsidR="00247C23" w:rsidRPr="00BD0BB8">
        <w:rPr>
          <w:b/>
        </w:rPr>
      </w:r>
      <w:r w:rsidR="00247C23" w:rsidRPr="00BD0BB8">
        <w:rPr>
          <w:b/>
        </w:rPr>
        <w:fldChar w:fldCharType="separate"/>
      </w:r>
      <w:r w:rsidR="00633773">
        <w:t>30.2.3.1</w:t>
      </w:r>
      <w:r w:rsidR="00247C23" w:rsidRPr="00BD0BB8">
        <w:rPr>
          <w:b/>
        </w:rPr>
        <w:fldChar w:fldCharType="end"/>
      </w:r>
      <w:r w:rsidR="00247C23" w:rsidRPr="00BD0BB8">
        <w:t>.</w:t>
      </w:r>
    </w:p>
    <w:p w14:paraId="3DEFCED8" w14:textId="77777777" w:rsidR="00462C16" w:rsidRPr="00BD0BB8" w:rsidRDefault="00BF3AAB" w:rsidP="006A005A">
      <w:pPr>
        <w:pStyle w:val="DA2SecondLevel"/>
        <w:keepNext w:val="0"/>
        <w:widowControl w:val="0"/>
        <w:jc w:val="both"/>
      </w:pPr>
      <w:r w:rsidRPr="00BD0BB8">
        <w:t>The Company may purchase insurance to protect</w:t>
      </w:r>
      <w:r w:rsidR="00D22DD7" w:rsidRPr="00BD0BB8">
        <w:t>:</w:t>
      </w:r>
    </w:p>
    <w:p w14:paraId="33DEFC7A" w14:textId="1DF8DAC6" w:rsidR="00462C16" w:rsidRPr="00BD0BB8" w:rsidRDefault="00BF3AAB" w:rsidP="006A005A">
      <w:pPr>
        <w:pStyle w:val="Heading3"/>
        <w:keepNext w:val="0"/>
        <w:keepLines w:val="0"/>
        <w:widowControl w:val="0"/>
      </w:pPr>
      <w:r w:rsidRPr="00BD0BB8">
        <w:t>a Director against any liability or expenses contemplated in clause </w:t>
      </w:r>
      <w:r w:rsidR="00247C23" w:rsidRPr="00BD0BB8">
        <w:fldChar w:fldCharType="begin"/>
      </w:r>
      <w:r w:rsidR="00247C23" w:rsidRPr="00BD0BB8">
        <w:instrText xml:space="preserve"> REF _Ref279535756 \r \h </w:instrText>
      </w:r>
      <w:r w:rsidR="000314C5" w:rsidRPr="00BD0BB8">
        <w:instrText xml:space="preserve"> \* MERGEFORMAT </w:instrText>
      </w:r>
      <w:r w:rsidR="00247C23" w:rsidRPr="00BD0BB8">
        <w:fldChar w:fldCharType="separate"/>
      </w:r>
      <w:r w:rsidR="00633773">
        <w:t>30.2.2</w:t>
      </w:r>
      <w:r w:rsidR="00247C23" w:rsidRPr="00BD0BB8">
        <w:fldChar w:fldCharType="end"/>
      </w:r>
      <w:r w:rsidRPr="00BD0BB8">
        <w:t xml:space="preserve"> or </w:t>
      </w:r>
      <w:r w:rsidR="00247C23" w:rsidRPr="00BD0BB8">
        <w:fldChar w:fldCharType="begin"/>
      </w:r>
      <w:r w:rsidR="00247C23" w:rsidRPr="00BD0BB8">
        <w:instrText xml:space="preserve"> REF _Ref279536230 \r \h </w:instrText>
      </w:r>
      <w:r w:rsidR="000314C5" w:rsidRPr="00BD0BB8">
        <w:instrText xml:space="preserve"> \* MERGEFORMAT </w:instrText>
      </w:r>
      <w:r w:rsidR="00247C23" w:rsidRPr="00BD0BB8">
        <w:fldChar w:fldCharType="separate"/>
      </w:r>
      <w:r w:rsidR="00633773">
        <w:t>30.2.3</w:t>
      </w:r>
      <w:r w:rsidR="00247C23" w:rsidRPr="00BD0BB8">
        <w:fldChar w:fldCharType="end"/>
      </w:r>
      <w:r w:rsidR="00707D8E" w:rsidRPr="00BD0BB8">
        <w:rPr>
          <w:rStyle w:val="FootnoteReference"/>
        </w:rPr>
        <w:footnoteReference w:id="127"/>
      </w:r>
      <w:r w:rsidRPr="00BD0BB8">
        <w:t>; or</w:t>
      </w:r>
    </w:p>
    <w:p w14:paraId="0C889D27" w14:textId="77777777" w:rsidR="00462C16" w:rsidRPr="00BD0BB8" w:rsidRDefault="00BF3AAB" w:rsidP="006A005A">
      <w:pPr>
        <w:pStyle w:val="Heading3"/>
        <w:keepNext w:val="0"/>
        <w:keepLines w:val="0"/>
        <w:widowControl w:val="0"/>
      </w:pPr>
      <w:r w:rsidRPr="00BD0BB8">
        <w:t>the Company against any contingency including but not limited to</w:t>
      </w:r>
      <w:r w:rsidR="00D22DD7" w:rsidRPr="00BD0BB8">
        <w:t>:</w:t>
      </w:r>
    </w:p>
    <w:p w14:paraId="7001A9EC" w14:textId="00E09901" w:rsidR="00462C16" w:rsidRPr="00BD0BB8" w:rsidRDefault="00BF3AAB" w:rsidP="006A005A">
      <w:pPr>
        <w:pStyle w:val="DA4ThirdLevelNumbering"/>
        <w:rPr>
          <w:rFonts w:cs="Arial"/>
          <w:szCs w:val="22"/>
        </w:rPr>
      </w:pPr>
      <w:r w:rsidRPr="00BD0BB8">
        <w:rPr>
          <w:rFonts w:cs="Arial"/>
          <w:szCs w:val="22"/>
        </w:rPr>
        <w:t>any expenses</w:t>
      </w:r>
      <w:r w:rsidR="006F3D5F" w:rsidRPr="00BD0BB8">
        <w:rPr>
          <w:rStyle w:val="FootnoteReference"/>
          <w:rFonts w:cs="Arial"/>
          <w:szCs w:val="22"/>
        </w:rPr>
        <w:footnoteReference w:id="128"/>
      </w:r>
      <w:r w:rsidR="00D22DD7" w:rsidRPr="00BD0BB8">
        <w:rPr>
          <w:rFonts w:cs="Arial"/>
          <w:szCs w:val="22"/>
        </w:rPr>
        <w:t>:</w:t>
      </w:r>
    </w:p>
    <w:p w14:paraId="0AE0AAE3" w14:textId="2B858DBB" w:rsidR="00462C16" w:rsidRPr="00BD0BB8" w:rsidRDefault="00BF3AAB" w:rsidP="006A005A">
      <w:pPr>
        <w:pStyle w:val="DA5FifthLevelNumbering"/>
        <w:widowControl w:val="0"/>
      </w:pPr>
      <w:r w:rsidRPr="00BD0BB8">
        <w:t>that the Company is permitted to advance in accordance with clause </w:t>
      </w:r>
      <w:r w:rsidR="00247C23" w:rsidRPr="00BD0BB8">
        <w:fldChar w:fldCharType="begin"/>
      </w:r>
      <w:r w:rsidR="00247C23" w:rsidRPr="00BD0BB8">
        <w:instrText xml:space="preserve"> REF _Ref279535756 \r \h </w:instrText>
      </w:r>
      <w:r w:rsidR="000314C5" w:rsidRPr="00BD0BB8">
        <w:instrText xml:space="preserve"> \* MERGEFORMAT </w:instrText>
      </w:r>
      <w:r w:rsidR="00247C23" w:rsidRPr="00BD0BB8">
        <w:fldChar w:fldCharType="separate"/>
      </w:r>
      <w:r w:rsidR="00633773">
        <w:t>30.2.2</w:t>
      </w:r>
      <w:r w:rsidR="00247C23" w:rsidRPr="00BD0BB8">
        <w:fldChar w:fldCharType="end"/>
      </w:r>
      <w:r w:rsidRPr="00BD0BB8">
        <w:t>; or</w:t>
      </w:r>
    </w:p>
    <w:p w14:paraId="68088C85" w14:textId="7EA85CEA" w:rsidR="00462C16" w:rsidRPr="00BD0BB8" w:rsidRDefault="00BF3AAB" w:rsidP="006A005A">
      <w:pPr>
        <w:pStyle w:val="DA5FifthLevelNumbering"/>
        <w:widowControl w:val="0"/>
      </w:pPr>
      <w:r w:rsidRPr="00BD0BB8">
        <w:t>for which the Company is permitted to indemnify a Director in accordance with clause </w:t>
      </w:r>
      <w:r w:rsidR="00247C23" w:rsidRPr="00BD0BB8">
        <w:fldChar w:fldCharType="begin"/>
      </w:r>
      <w:r w:rsidR="00247C23" w:rsidRPr="00BD0BB8">
        <w:instrText xml:space="preserve"> REF _Ref447289270 \r \h </w:instrText>
      </w:r>
      <w:r w:rsidR="00AD5D04" w:rsidRPr="00BD0BB8">
        <w:instrText xml:space="preserve"> \* MERGEFORMAT </w:instrText>
      </w:r>
      <w:r w:rsidR="00247C23" w:rsidRPr="00BD0BB8">
        <w:fldChar w:fldCharType="separate"/>
      </w:r>
      <w:r w:rsidR="00633773">
        <w:t>30.2.3.1.2</w:t>
      </w:r>
      <w:r w:rsidR="00247C23" w:rsidRPr="00BD0BB8">
        <w:fldChar w:fldCharType="end"/>
      </w:r>
      <w:r w:rsidRPr="00BD0BB8">
        <w:t>; or</w:t>
      </w:r>
    </w:p>
    <w:p w14:paraId="2B03C427" w14:textId="7E2229E6" w:rsidR="00462C16" w:rsidRPr="00BD0BB8" w:rsidRDefault="00BF3AAB" w:rsidP="006A005A">
      <w:pPr>
        <w:pStyle w:val="DA4ThirdLevelNumbering"/>
        <w:rPr>
          <w:rFonts w:cs="Arial"/>
          <w:szCs w:val="22"/>
        </w:rPr>
      </w:pPr>
      <w:r w:rsidRPr="00BD0BB8">
        <w:rPr>
          <w:rFonts w:cs="Arial"/>
          <w:szCs w:val="22"/>
        </w:rPr>
        <w:t>any liability</w:t>
      </w:r>
      <w:r w:rsidR="006F3D5F" w:rsidRPr="00BD0BB8">
        <w:rPr>
          <w:rStyle w:val="FootnoteReference"/>
          <w:rFonts w:cs="Arial"/>
          <w:szCs w:val="22"/>
        </w:rPr>
        <w:footnoteReference w:id="129"/>
      </w:r>
      <w:r w:rsidRPr="00BD0BB8">
        <w:rPr>
          <w:rFonts w:cs="Arial"/>
          <w:szCs w:val="22"/>
        </w:rPr>
        <w:t xml:space="preserve"> for which the Company is permitted to indemnify a Director in accordance with clause </w:t>
      </w:r>
      <w:r w:rsidR="00247C23" w:rsidRPr="00BD0BB8">
        <w:rPr>
          <w:rFonts w:cs="Arial"/>
          <w:szCs w:val="22"/>
        </w:rPr>
        <w:fldChar w:fldCharType="begin"/>
      </w:r>
      <w:r w:rsidR="00247C23" w:rsidRPr="00BD0BB8">
        <w:rPr>
          <w:rFonts w:cs="Arial"/>
          <w:szCs w:val="22"/>
        </w:rPr>
        <w:instrText xml:space="preserve"> REF _Ref279536392 \r \h </w:instrText>
      </w:r>
      <w:r w:rsidR="00AD5D04" w:rsidRPr="00BD0BB8">
        <w:rPr>
          <w:rFonts w:cs="Arial"/>
          <w:szCs w:val="22"/>
        </w:rPr>
        <w:instrText xml:space="preserve"> \* MERGEFORMAT </w:instrText>
      </w:r>
      <w:r w:rsidR="00247C23" w:rsidRPr="00BD0BB8">
        <w:rPr>
          <w:rFonts w:cs="Arial"/>
          <w:szCs w:val="22"/>
        </w:rPr>
      </w:r>
      <w:r w:rsidR="00247C23" w:rsidRPr="00BD0BB8">
        <w:rPr>
          <w:rFonts w:cs="Arial"/>
          <w:szCs w:val="22"/>
        </w:rPr>
        <w:fldChar w:fldCharType="separate"/>
      </w:r>
      <w:r w:rsidR="00633773">
        <w:rPr>
          <w:rFonts w:cs="Arial"/>
          <w:szCs w:val="22"/>
        </w:rPr>
        <w:t>30.2.3.1</w:t>
      </w:r>
      <w:r w:rsidR="00247C23" w:rsidRPr="00BD0BB8">
        <w:rPr>
          <w:rFonts w:cs="Arial"/>
          <w:szCs w:val="22"/>
        </w:rPr>
        <w:fldChar w:fldCharType="end"/>
      </w:r>
      <w:r w:rsidRPr="00BD0BB8">
        <w:rPr>
          <w:rFonts w:cs="Arial"/>
          <w:szCs w:val="22"/>
        </w:rPr>
        <w:t>.</w:t>
      </w:r>
    </w:p>
    <w:p w14:paraId="4A88CCFB" w14:textId="75B4FA61" w:rsidR="009A4F59" w:rsidRPr="00BD0BB8" w:rsidRDefault="00BF3AAB" w:rsidP="006A005A">
      <w:pPr>
        <w:pStyle w:val="DA2SecondLevel"/>
        <w:keepNext w:val="0"/>
        <w:widowControl w:val="0"/>
        <w:jc w:val="both"/>
      </w:pPr>
      <w:r w:rsidRPr="00BD0BB8">
        <w:t xml:space="preserve">The Company is entitled to claim restitution from a Director or of a related company for any money paid directly or indirectly by the Company to or on behalf of that Director </w:t>
      </w:r>
      <w:r w:rsidRPr="00BD0BB8">
        <w:lastRenderedPageBreak/>
        <w:t xml:space="preserve">in any manner inconsistent with section 75 of the </w:t>
      </w:r>
      <w:r w:rsidR="0050570C" w:rsidRPr="00BD0BB8">
        <w:t>Act</w:t>
      </w:r>
      <w:r w:rsidRPr="00BD0BB8">
        <w:t>.</w:t>
      </w:r>
      <w:bookmarkEnd w:id="23"/>
      <w:r w:rsidR="006F3D5F" w:rsidRPr="00BD0BB8">
        <w:rPr>
          <w:rStyle w:val="FootnoteReference"/>
          <w:color w:val="auto"/>
        </w:rPr>
        <w:footnoteReference w:id="130"/>
      </w:r>
    </w:p>
    <w:p w14:paraId="7D2C9797" w14:textId="77777777" w:rsidR="008B18FD" w:rsidRPr="00BD0BB8" w:rsidRDefault="008B18FD" w:rsidP="006A005A">
      <w:pPr>
        <w:pStyle w:val="DA1FirstLevelHeading"/>
        <w:keepNext w:val="0"/>
        <w:widowControl w:val="0"/>
        <w:jc w:val="both"/>
        <w:rPr>
          <w:lang w:val="en-US"/>
        </w:rPr>
      </w:pPr>
      <w:bookmarkStart w:id="274" w:name="_Ref292980340"/>
      <w:bookmarkStart w:id="275" w:name="_Toc457480713"/>
      <w:bookmarkStart w:id="276" w:name="_Hlk505170904"/>
      <w:r w:rsidRPr="00BD0BB8">
        <w:rPr>
          <w:lang w:val="en-US"/>
        </w:rPr>
        <w:t>RESOLUTION OF DISPUTES</w:t>
      </w:r>
      <w:bookmarkEnd w:id="274"/>
      <w:bookmarkEnd w:id="275"/>
    </w:p>
    <w:p w14:paraId="32C076F7" w14:textId="4826728E" w:rsidR="00E538D1" w:rsidRPr="00BD0BB8" w:rsidRDefault="008B18FD" w:rsidP="006A005A">
      <w:pPr>
        <w:pStyle w:val="DA2SecondLevel"/>
        <w:keepNext w:val="0"/>
        <w:widowControl w:val="0"/>
        <w:jc w:val="both"/>
      </w:pPr>
      <w:bookmarkStart w:id="277" w:name="_Ref77486652"/>
      <w:r w:rsidRPr="00BD0BB8">
        <w:t>In the event of there being any dispute or difference between any persons bound by this M</w:t>
      </w:r>
      <w:r w:rsidR="00E677DE" w:rsidRPr="00BD0BB8">
        <w:t>OI</w:t>
      </w:r>
      <w:r w:rsidRPr="00BD0BB8">
        <w:t>, including any dispute or difference arising out of or in respect of any of the provisions of this M</w:t>
      </w:r>
      <w:r w:rsidR="00E677DE" w:rsidRPr="00BD0BB8">
        <w:t>OI</w:t>
      </w:r>
      <w:r w:rsidRPr="00BD0BB8">
        <w:t xml:space="preserve"> such dispute or difference shall, except to the extent that provision is made elsewhere in this M</w:t>
      </w:r>
      <w:r w:rsidR="00E677DE" w:rsidRPr="00BD0BB8">
        <w:t>OI</w:t>
      </w:r>
      <w:r w:rsidRPr="00BD0BB8">
        <w:t xml:space="preserve"> for the final resolution of the dispute or difference in question, on written demand by any such person be submitted to arbitration at </w:t>
      </w:r>
      <w:r w:rsidR="00162C90" w:rsidRPr="00162C90">
        <w:t>[●]</w:t>
      </w:r>
      <w:r w:rsidR="00162C90">
        <w:t xml:space="preserve"> </w:t>
      </w:r>
      <w:r w:rsidRPr="00BD0BB8">
        <w:t>before a single arbitrator in accordance with the rules of the Arbitration Foundation of Southern Africa (</w:t>
      </w:r>
      <w:r w:rsidR="006A005A">
        <w:t>"</w:t>
      </w:r>
      <w:r w:rsidRPr="00BD0BB8">
        <w:rPr>
          <w:b/>
        </w:rPr>
        <w:t>AFSA</w:t>
      </w:r>
      <w:r w:rsidR="006A005A">
        <w:t>"</w:t>
      </w:r>
      <w:r w:rsidRPr="00BD0BB8">
        <w:t>), which arbitration shall be administered by AFSA.</w:t>
      </w:r>
      <w:bookmarkEnd w:id="277"/>
      <w:r w:rsidR="00E538D1" w:rsidRPr="00BD0BB8">
        <w:t xml:space="preserve"> The arbitrator shall be an impartial admitted attorney, advocate, or retired judge, whether practising or non-practising, of not less than 10 (ten) years standing appointed jointly by the Parties. </w:t>
      </w:r>
      <w:r w:rsidR="00E538D1" w:rsidRPr="00BD0BB8">
        <w:rPr>
          <w:color w:val="000000" w:themeColor="text1"/>
        </w:rPr>
        <w:t xml:space="preserve">Failing agreement on the appointment of an arbitrator by the Parties within 10 (ten) Business Days, any </w:t>
      </w:r>
      <w:r w:rsidR="00E538D1" w:rsidRPr="00BD0BB8">
        <w:t xml:space="preserve">party to the dispute shall be entitled to request that the Secretariat of AFSA nominates an arbitrator to arbitrate the dispute. </w:t>
      </w:r>
      <w:r w:rsidR="00E538D1" w:rsidRPr="00BD0BB8">
        <w:rPr>
          <w:color w:val="000000" w:themeColor="text1"/>
        </w:rPr>
        <w:t xml:space="preserve">If </w:t>
      </w:r>
      <w:r w:rsidR="00E538D1" w:rsidRPr="00BD0BB8">
        <w:t xml:space="preserve">the Secretariat of AFSA </w:t>
      </w:r>
      <w:r w:rsidR="00E538D1" w:rsidRPr="00BD0BB8">
        <w:rPr>
          <w:color w:val="000000" w:themeColor="text1"/>
        </w:rPr>
        <w:t xml:space="preserve">fails or refuses to make the nomination </w:t>
      </w:r>
      <w:r w:rsidR="00E538D1" w:rsidRPr="00BD0BB8">
        <w:t>within 20 (twenty) Business Days of having been requested to do so, any party to the dispute may approach the High Court of South Africa to make such an appointment. To the extent necessary, the court is expressly empowered to do so.</w:t>
      </w:r>
    </w:p>
    <w:p w14:paraId="1CA0A5FE" w14:textId="77777777" w:rsidR="008B18FD" w:rsidRPr="00BD0BB8" w:rsidRDefault="008B18FD" w:rsidP="006A005A">
      <w:pPr>
        <w:pStyle w:val="DA2SecondLevel"/>
        <w:keepNext w:val="0"/>
        <w:widowControl w:val="0"/>
        <w:jc w:val="both"/>
      </w:pPr>
      <w:bookmarkStart w:id="278" w:name="_Ref48122228"/>
      <w:r w:rsidRPr="00BD0BB8">
        <w:t>Should AFSA, as an institution, not be operating at that time or not be accepting requests for arbitration for any reason, then the arbitration shall be conducted in accordance with the AFSA rules for commercial arbitration (as last applied by AFSA) before a single arbitrator appointed by agreement between the parties to the dispute or difference or failing agreement within 10 (ten) business days of the demand for arbitration, then any party to the dispute or difference shall be entitled to forthwith call upon the chairperson of the Bar Council of the city or town in which the registered office of the Company is situated (or which is closest thereto) to nominate the arbitrator, provided that the person so nominated shall be an advocate or attorney of not less than 15 (fifteen) years standing as such.  The person so nominated shall be the duly appointed arbitrator in respect of the dispute or difference.  In the event of the attorneys of the parties to the dispute or difference failing to agree on any matter relating to the administration of the arbitration, such matter shall be referred to and decided by the arbitrator whose decision shall be final and binding on the parties to the dispute.</w:t>
      </w:r>
    </w:p>
    <w:p w14:paraId="5A0CC6F5" w14:textId="77777777" w:rsidR="008B18FD" w:rsidRPr="00BD0BB8" w:rsidRDefault="008B18FD" w:rsidP="006A005A">
      <w:pPr>
        <w:pStyle w:val="DA2SecondLevel"/>
        <w:keepNext w:val="0"/>
        <w:widowControl w:val="0"/>
        <w:jc w:val="both"/>
      </w:pPr>
      <w:bookmarkStart w:id="279" w:name="_Ref48121987"/>
      <w:bookmarkEnd w:id="278"/>
      <w:r w:rsidRPr="00BD0BB8">
        <w:lastRenderedPageBreak/>
        <w:t>Any party to the arbitration may appeal the decision of the arbitrator or arbitrators in terms of the AFSA rules for commercial arbitration.</w:t>
      </w:r>
      <w:bookmarkEnd w:id="279"/>
    </w:p>
    <w:p w14:paraId="37397BFF" w14:textId="77777777" w:rsidR="008B18FD" w:rsidRPr="00BD0BB8" w:rsidRDefault="008B18FD" w:rsidP="006A005A">
      <w:pPr>
        <w:pStyle w:val="DA2SecondLevel"/>
        <w:keepNext w:val="0"/>
        <w:widowControl w:val="0"/>
        <w:jc w:val="both"/>
      </w:pPr>
      <w:r w:rsidRPr="00BD0BB8">
        <w:t>Nothing herein contained shall be deemed to prevent or prohibit a party to the arbitration from applying to the appropriate court for urgent relief or for judgment in relation to a liquidated claim.</w:t>
      </w:r>
    </w:p>
    <w:p w14:paraId="3356BB0E" w14:textId="674F2D41" w:rsidR="008B18FD" w:rsidRPr="00BD0BB8" w:rsidRDefault="008B18FD" w:rsidP="006A005A">
      <w:pPr>
        <w:pStyle w:val="DA2SecondLevel"/>
        <w:keepNext w:val="0"/>
        <w:widowControl w:val="0"/>
        <w:jc w:val="both"/>
      </w:pPr>
      <w:r w:rsidRPr="00BD0BB8">
        <w:t xml:space="preserve">Any arbitration in terms of this clause </w:t>
      </w:r>
      <w:r w:rsidRPr="00BD0BB8">
        <w:fldChar w:fldCharType="begin"/>
      </w:r>
      <w:r w:rsidRPr="00BD0BB8">
        <w:instrText xml:space="preserve"> REF _Ref292980340 \r \h  \* MERGEFORMAT </w:instrText>
      </w:r>
      <w:r w:rsidRPr="00BD0BB8">
        <w:fldChar w:fldCharType="separate"/>
      </w:r>
      <w:r w:rsidR="00633773">
        <w:t>31</w:t>
      </w:r>
      <w:r w:rsidRPr="00BD0BB8">
        <w:fldChar w:fldCharType="end"/>
      </w:r>
      <w:r w:rsidRPr="00BD0BB8">
        <w:t xml:space="preserve"> (including any appeal proceedings) shall be conducted </w:t>
      </w:r>
      <w:r w:rsidRPr="00BD0BB8">
        <w:rPr>
          <w:i/>
        </w:rPr>
        <w:t>in camera</w:t>
      </w:r>
      <w:r w:rsidRPr="00BD0BB8">
        <w:t xml:space="preserve"> and the parties to the arbitration shall treat as confidential details of the dispute or difference submitted to arbitration, the conduct of the arbitration proceedings and the outcome of the arbitration.</w:t>
      </w:r>
    </w:p>
    <w:p w14:paraId="2152E4A0" w14:textId="7248767D" w:rsidR="008B18FD" w:rsidRPr="00BD0BB8" w:rsidRDefault="008B18FD" w:rsidP="006A005A">
      <w:pPr>
        <w:pStyle w:val="DA2SecondLevel"/>
        <w:keepNext w:val="0"/>
        <w:widowControl w:val="0"/>
        <w:jc w:val="both"/>
      </w:pPr>
      <w:r w:rsidRPr="00BD0BB8">
        <w:t xml:space="preserve">This clause </w:t>
      </w:r>
      <w:r w:rsidRPr="00BD0BB8">
        <w:fldChar w:fldCharType="begin"/>
      </w:r>
      <w:r w:rsidRPr="00BD0BB8">
        <w:instrText xml:space="preserve"> REF _Ref292980340 \r \h  \* MERGEFORMAT </w:instrText>
      </w:r>
      <w:r w:rsidRPr="00BD0BB8">
        <w:fldChar w:fldCharType="separate"/>
      </w:r>
      <w:r w:rsidR="00633773">
        <w:t>31</w:t>
      </w:r>
      <w:r w:rsidRPr="00BD0BB8">
        <w:fldChar w:fldCharType="end"/>
      </w:r>
      <w:r w:rsidRPr="00BD0BB8">
        <w:t xml:space="preserve"> will continue to be binding notwithstanding any liquidation of the Company, the commencement of any business rescue proceedings in respect of the Company or the sale by any person of any Securities held by that person in the Company, to the extent that the implementation of the provisions of this clause will not give rise to any contravention of any provision of the Act or of any other applicable legislation.</w:t>
      </w:r>
    </w:p>
    <w:p w14:paraId="04198E1E" w14:textId="6EFFD2C0" w:rsidR="008B18FD" w:rsidRPr="00BD0BB8" w:rsidRDefault="008B18FD" w:rsidP="006A005A">
      <w:pPr>
        <w:pStyle w:val="DA2SecondLevel"/>
        <w:keepNext w:val="0"/>
        <w:widowControl w:val="0"/>
        <w:jc w:val="both"/>
      </w:pPr>
      <w:r w:rsidRPr="00BD0BB8">
        <w:t xml:space="preserve">The written demand by a party to the dispute in terms of clause </w:t>
      </w:r>
      <w:r w:rsidRPr="00BD0BB8">
        <w:fldChar w:fldCharType="begin"/>
      </w:r>
      <w:r w:rsidRPr="00BD0BB8">
        <w:instrText xml:space="preserve"> REF _Ref77486652 \r \h </w:instrText>
      </w:r>
      <w:r w:rsidR="00AD5D04" w:rsidRPr="00BD0BB8">
        <w:instrText xml:space="preserve"> \* MERGEFORMAT </w:instrText>
      </w:r>
      <w:r w:rsidRPr="00BD0BB8">
        <w:fldChar w:fldCharType="separate"/>
      </w:r>
      <w:r w:rsidR="00633773">
        <w:t>31.1</w:t>
      </w:r>
      <w:r w:rsidRPr="00BD0BB8">
        <w:fldChar w:fldCharType="end"/>
      </w:r>
      <w:r w:rsidRPr="00BD0BB8">
        <w:t xml:space="preserve"> that the dispute or difference be submitted to arbitration, shall be deemed to be a legal process for the purpose of interrupting extinctive prescription in terms of the Prescription Act, 1969.</w:t>
      </w:r>
    </w:p>
    <w:bookmarkEnd w:id="276"/>
    <w:p w14:paraId="636DCD05" w14:textId="77777777" w:rsidR="00076D92" w:rsidRPr="00BD0BB8" w:rsidRDefault="00076D92" w:rsidP="006A005A">
      <w:pPr>
        <w:widowControl w:val="0"/>
        <w:rPr>
          <w:rFonts w:cs="Arial"/>
          <w:b/>
          <w:caps/>
          <w:color w:val="000000"/>
        </w:rPr>
      </w:pPr>
      <w:r w:rsidRPr="00BD0BB8">
        <w:rPr>
          <w:rFonts w:cs="Arial"/>
        </w:rPr>
        <w:br w:type="page"/>
      </w:r>
    </w:p>
    <w:p w14:paraId="7E02FE02" w14:textId="77777777" w:rsidR="00100885" w:rsidRPr="00BD0BB8" w:rsidRDefault="00100885" w:rsidP="006A005A">
      <w:pPr>
        <w:pStyle w:val="DA0"/>
        <w:widowControl w:val="0"/>
        <w:rPr>
          <w:b/>
        </w:rPr>
      </w:pPr>
    </w:p>
    <w:p w14:paraId="065F1488" w14:textId="02544B8C" w:rsidR="00076D92" w:rsidRPr="00BD0BB8" w:rsidRDefault="008B18FD" w:rsidP="006A005A">
      <w:pPr>
        <w:pStyle w:val="Heading1"/>
        <w:keepNext w:val="0"/>
        <w:widowControl w:val="0"/>
        <w:numPr>
          <w:ilvl w:val="0"/>
          <w:numId w:val="0"/>
        </w:numPr>
        <w:ind w:left="709" w:hanging="709"/>
        <w:jc w:val="both"/>
        <w:rPr>
          <w:rFonts w:ascii="Arial" w:hAnsi="Arial"/>
        </w:rPr>
      </w:pPr>
      <w:r w:rsidRPr="00BD0BB8">
        <w:rPr>
          <w:rFonts w:ascii="Arial" w:hAnsi="Arial"/>
        </w:rPr>
        <w:t>ANNEXURE A</w:t>
      </w:r>
      <w:r w:rsidR="00BE237F" w:rsidRPr="00BD0BB8">
        <w:rPr>
          <w:rFonts w:ascii="Arial" w:hAnsi="Arial"/>
        </w:rPr>
        <w:t xml:space="preserve">: </w:t>
      </w:r>
      <w:r w:rsidR="00DE6F71" w:rsidRPr="00BD0BB8">
        <w:rPr>
          <w:rFonts w:ascii="Arial" w:hAnsi="Arial"/>
        </w:rPr>
        <w:t>Series A Share</w:t>
      </w:r>
      <w:r w:rsidR="00F4604A">
        <w:rPr>
          <w:rFonts w:ascii="Arial" w:hAnsi="Arial"/>
        </w:rPr>
        <w:t xml:space="preserve"> RIGHTS</w:t>
      </w:r>
      <w:r w:rsidR="00F4604A">
        <w:rPr>
          <w:rStyle w:val="FootnoteReference"/>
          <w:rFonts w:ascii="Arial" w:hAnsi="Arial"/>
        </w:rPr>
        <w:footnoteReference w:id="131"/>
      </w:r>
    </w:p>
    <w:p w14:paraId="59810C02" w14:textId="7461D7A4" w:rsidR="009E4386" w:rsidRPr="00BD0BB8" w:rsidRDefault="009E4386" w:rsidP="006A005A">
      <w:pPr>
        <w:pStyle w:val="Heading1"/>
        <w:keepNext w:val="0"/>
        <w:widowControl w:val="0"/>
        <w:numPr>
          <w:ilvl w:val="0"/>
          <w:numId w:val="42"/>
        </w:numPr>
        <w:jc w:val="both"/>
        <w:rPr>
          <w:rFonts w:ascii="Arial" w:hAnsi="Arial"/>
        </w:rPr>
      </w:pPr>
      <w:bookmarkStart w:id="280" w:name="AnnexureA"/>
      <w:r w:rsidRPr="00BD0BB8">
        <w:rPr>
          <w:rFonts w:ascii="Arial" w:hAnsi="Arial"/>
        </w:rPr>
        <w:t>Generally</w:t>
      </w:r>
    </w:p>
    <w:p w14:paraId="121E95BF" w14:textId="76E2F22A" w:rsidR="009E4386" w:rsidRPr="00BD0BB8" w:rsidRDefault="009E4386" w:rsidP="006A005A">
      <w:pPr>
        <w:pStyle w:val="DA2SecondLevel"/>
        <w:keepNext w:val="0"/>
        <w:widowControl w:val="0"/>
        <w:numPr>
          <w:ilvl w:val="0"/>
          <w:numId w:val="0"/>
        </w:numPr>
        <w:ind w:left="709"/>
        <w:jc w:val="both"/>
      </w:pPr>
      <w:r w:rsidRPr="00BD0BB8">
        <w:t xml:space="preserve">The preferences, rights, and limitations set out in this Annexure, particularly with respect to the Liquidity Preference, may be conditional upon any required approval by the Financial Surveillance Department of the South African Reserve Bank. In the event that such approval is required, and is not granted in particular for the Liquidity Preference, the Series A Shares shall </w:t>
      </w:r>
      <w:r w:rsidR="007E5EF0" w:rsidRPr="00BD0BB8">
        <w:t xml:space="preserve">rank </w:t>
      </w:r>
      <w:r w:rsidRPr="00BD0BB8">
        <w:rPr>
          <w:i/>
        </w:rPr>
        <w:t>pari passu</w:t>
      </w:r>
      <w:r w:rsidRPr="00BD0BB8">
        <w:t xml:space="preserve"> with the Ordinary Shares on an </w:t>
      </w:r>
      <w:r w:rsidR="007E5EF0" w:rsidRPr="00BD0BB8">
        <w:t xml:space="preserve">As-Converted Basis in all respects including Voting Rights, the right to </w:t>
      </w:r>
      <w:r w:rsidR="007E5EF0" w:rsidRPr="007E5EF0">
        <w:t>receive any distribution by the Company</w:t>
      </w:r>
      <w:r w:rsidR="007E5EF0" w:rsidRPr="00BD0BB8">
        <w:t xml:space="preserve"> and the right to receive a portion of the total net assets of the Company remaining upon its liquidation. </w:t>
      </w:r>
    </w:p>
    <w:p w14:paraId="4BC2E97D" w14:textId="7B713592" w:rsidR="006B6766" w:rsidRPr="00BD0BB8" w:rsidRDefault="006B6766" w:rsidP="006A005A">
      <w:pPr>
        <w:pStyle w:val="Heading1"/>
        <w:keepNext w:val="0"/>
        <w:widowControl w:val="0"/>
        <w:numPr>
          <w:ilvl w:val="0"/>
          <w:numId w:val="42"/>
        </w:numPr>
        <w:jc w:val="both"/>
        <w:rPr>
          <w:rFonts w:ascii="Arial" w:hAnsi="Arial"/>
        </w:rPr>
      </w:pPr>
      <w:r w:rsidRPr="00BD0BB8">
        <w:rPr>
          <w:rFonts w:ascii="Arial" w:hAnsi="Arial"/>
        </w:rPr>
        <w:t xml:space="preserve">Series A </w:t>
      </w:r>
      <w:r w:rsidR="00100885" w:rsidRPr="00BD0BB8">
        <w:rPr>
          <w:rFonts w:ascii="Arial" w:hAnsi="Arial"/>
        </w:rPr>
        <w:t xml:space="preserve">Voting </w:t>
      </w:r>
      <w:r w:rsidRPr="00BD0BB8">
        <w:rPr>
          <w:rFonts w:ascii="Arial" w:hAnsi="Arial"/>
        </w:rPr>
        <w:t xml:space="preserve">Rights </w:t>
      </w:r>
    </w:p>
    <w:bookmarkEnd w:id="280"/>
    <w:p w14:paraId="3D7FFE16" w14:textId="41212863" w:rsidR="006B6766" w:rsidRPr="00BD0BB8" w:rsidRDefault="006B6766" w:rsidP="006A005A">
      <w:pPr>
        <w:pStyle w:val="DA2SecondLevel"/>
        <w:keepNext w:val="0"/>
        <w:widowControl w:val="0"/>
        <w:jc w:val="both"/>
      </w:pPr>
      <w:r w:rsidRPr="00BD0BB8">
        <w:t>Each Series A Share entitles the Holder to</w:t>
      </w:r>
      <w:r w:rsidR="00100885" w:rsidRPr="00BD0BB8">
        <w:t xml:space="preserve"> the following Voting Rights</w:t>
      </w:r>
      <w:r w:rsidRPr="00BD0BB8">
        <w:t>:</w:t>
      </w:r>
    </w:p>
    <w:p w14:paraId="04A415B2" w14:textId="6159E659" w:rsidR="006B6766" w:rsidRPr="00BD0BB8" w:rsidRDefault="007E5EF0" w:rsidP="006A005A">
      <w:pPr>
        <w:pStyle w:val="DA3Third"/>
      </w:pPr>
      <w:r w:rsidRPr="00BD0BB8">
        <w:t xml:space="preserve">on </w:t>
      </w:r>
      <w:r w:rsidR="006B6766" w:rsidRPr="00BD0BB8">
        <w:t xml:space="preserve">any matter submitted to a vote of Shareholders, each </w:t>
      </w:r>
      <w:r w:rsidRPr="00BD0BB8">
        <w:t xml:space="preserve">Holder </w:t>
      </w:r>
      <w:r w:rsidR="006B6766" w:rsidRPr="00BD0BB8">
        <w:t>of a Preference Share shall be entitled to cast a number of votes equal to the number of whole Ordinary Shares into which that Preference Share is convertible at the record date for determining Shareholders entitled to vote on such matter</w:t>
      </w:r>
      <w:r w:rsidR="00100885" w:rsidRPr="00BD0BB8">
        <w:t>; and</w:t>
      </w:r>
    </w:p>
    <w:p w14:paraId="25E0FA40" w14:textId="674A63B5" w:rsidR="006B6766" w:rsidRPr="00BD0BB8" w:rsidRDefault="007E5EF0" w:rsidP="006A005A">
      <w:pPr>
        <w:pStyle w:val="DA3Third"/>
      </w:pPr>
      <w:r w:rsidRPr="00BD0BB8">
        <w:t xml:space="preserve">except </w:t>
      </w:r>
      <w:r w:rsidR="006B6766" w:rsidRPr="00BD0BB8">
        <w:t>where the Companies Act or this MOI explicitly requires a separate class vote, the</w:t>
      </w:r>
      <w:r w:rsidRPr="00BD0BB8">
        <w:t xml:space="preserve"> Holder</w:t>
      </w:r>
      <w:r w:rsidR="006B6766" w:rsidRPr="00BD0BB8">
        <w:t>s of Preference Shares shall vote together with the</w:t>
      </w:r>
      <w:r w:rsidRPr="00BD0BB8">
        <w:t xml:space="preserve"> Holder</w:t>
      </w:r>
      <w:r w:rsidR="006B6766" w:rsidRPr="00BD0BB8">
        <w:t>s of Ordinary Shares as a single class</w:t>
      </w:r>
      <w:r w:rsidR="00100885" w:rsidRPr="00BD0BB8">
        <w:t xml:space="preserve">. </w:t>
      </w:r>
    </w:p>
    <w:p w14:paraId="4635BF79" w14:textId="5B8D9221" w:rsidR="00693409" w:rsidRPr="00BD0BB8" w:rsidRDefault="00693409" w:rsidP="006A005A">
      <w:pPr>
        <w:pStyle w:val="DA1FirstLevelHeading"/>
        <w:keepNext w:val="0"/>
        <w:widowControl w:val="0"/>
        <w:jc w:val="both"/>
      </w:pPr>
      <w:bookmarkStart w:id="281" w:name="_Ref208393461"/>
      <w:r w:rsidRPr="00BD0BB8">
        <w:t>DIRECTOR APPOINTMENT RIGHTS</w:t>
      </w:r>
      <w:bookmarkEnd w:id="281"/>
    </w:p>
    <w:p w14:paraId="5B88E4F0" w14:textId="6096C580" w:rsidR="00693409" w:rsidRPr="00BD0BB8" w:rsidRDefault="00693409" w:rsidP="006A005A">
      <w:pPr>
        <w:pStyle w:val="DA2SecondLevel"/>
        <w:keepNext w:val="0"/>
        <w:widowControl w:val="0"/>
        <w:jc w:val="both"/>
      </w:pPr>
      <w:r w:rsidRPr="00BD0BB8">
        <w:t xml:space="preserve">For so long as at least [25%] of the originally issued Series A Shares remain </w:t>
      </w:r>
      <w:r w:rsidR="00C33762">
        <w:t>issued</w:t>
      </w:r>
      <w:r w:rsidRPr="00BD0BB8">
        <w:t>, the holders of the Series A Shares, voting together as a separate class, shall have the exclusive right to elect [</w:t>
      </w:r>
      <w:r w:rsidRPr="00BD0BB8">
        <w:rPr>
          <w:b/>
          <w:bCs w:val="0"/>
        </w:rPr>
        <w:t>one</w:t>
      </w:r>
      <w:r w:rsidRPr="00BD0BB8">
        <w:t xml:space="preserve">] director to the Board (as the </w:t>
      </w:r>
      <w:r w:rsidR="006A005A">
        <w:t>"</w:t>
      </w:r>
      <w:r w:rsidRPr="00BD0BB8">
        <w:rPr>
          <w:b/>
          <w:bCs w:val="0"/>
        </w:rPr>
        <w:t>Preference Share Director</w:t>
      </w:r>
      <w:r w:rsidR="006A005A">
        <w:t>"</w:t>
      </w:r>
      <w:r w:rsidRPr="00BD0BB8">
        <w:t>).</w:t>
      </w:r>
    </w:p>
    <w:p w14:paraId="0829A584" w14:textId="1C657155" w:rsidR="00693409" w:rsidRPr="00BD0BB8" w:rsidRDefault="00693409" w:rsidP="006A005A">
      <w:pPr>
        <w:pStyle w:val="DA2SecondLevel"/>
        <w:keepNext w:val="0"/>
        <w:widowControl w:val="0"/>
        <w:jc w:val="both"/>
      </w:pPr>
      <w:r w:rsidRPr="00BD0BB8">
        <w:lastRenderedPageBreak/>
        <w:t>The holders of the Series A Shares, voting together as a separate class, shall also have the exclusive right to remove any Preference Share Director, with or without cause, and to elect a replacement to fill any vacancy created by the death, resignation, or removal of a Preference Share Director.</w:t>
      </w:r>
    </w:p>
    <w:p w14:paraId="19A446AB" w14:textId="15841BC2" w:rsidR="006B6766" w:rsidRPr="00BD0BB8" w:rsidRDefault="006B6766" w:rsidP="006A005A">
      <w:pPr>
        <w:pStyle w:val="DA1FirstLevelHeading"/>
        <w:widowControl w:val="0"/>
        <w:jc w:val="both"/>
      </w:pPr>
      <w:bookmarkStart w:id="282" w:name="_Ref209007180"/>
      <w:r w:rsidRPr="00BD0BB8">
        <w:t>DISTRIBUTIONS</w:t>
      </w:r>
      <w:bookmarkEnd w:id="282"/>
    </w:p>
    <w:p w14:paraId="344C90C9" w14:textId="77777777" w:rsidR="00252530" w:rsidRPr="00BD0BB8" w:rsidRDefault="00252530" w:rsidP="006A005A">
      <w:pPr>
        <w:pStyle w:val="Heading2"/>
        <w:widowControl w:val="0"/>
        <w:numPr>
          <w:ilvl w:val="0"/>
          <w:numId w:val="0"/>
        </w:numPr>
        <w:ind w:left="709"/>
        <w:jc w:val="both"/>
        <w:rPr>
          <w:b/>
          <w:bCs w:val="0"/>
          <w:szCs w:val="22"/>
        </w:rPr>
      </w:pPr>
      <w:r w:rsidRPr="00BD0BB8">
        <w:rPr>
          <w:b/>
          <w:bCs w:val="0"/>
          <w:szCs w:val="22"/>
        </w:rPr>
        <w:t>[Option 1: Simple Participating Dividend]</w:t>
      </w:r>
    </w:p>
    <w:p w14:paraId="785B3F44" w14:textId="77777777" w:rsidR="00252530" w:rsidRPr="00BD0BB8" w:rsidRDefault="00252530" w:rsidP="006A005A">
      <w:pPr>
        <w:pStyle w:val="DA2SecondLevel"/>
        <w:widowControl w:val="0"/>
        <w:jc w:val="both"/>
      </w:pPr>
      <w:r w:rsidRPr="00BD0BB8">
        <w:t>Participating Dividend</w:t>
      </w:r>
    </w:p>
    <w:p w14:paraId="5F970225" w14:textId="409FDECE" w:rsidR="00252530" w:rsidRPr="00BD0BB8" w:rsidRDefault="00252530" w:rsidP="006A005A">
      <w:pPr>
        <w:pStyle w:val="DA3Third"/>
      </w:pPr>
      <w:r w:rsidRPr="00BD0BB8">
        <w:t>If the Company declares a dividend on any other class of shares, the</w:t>
      </w:r>
      <w:r w:rsidR="007E5EF0" w:rsidRPr="00BD0BB8">
        <w:t xml:space="preserve"> Holder</w:t>
      </w:r>
      <w:r w:rsidRPr="00BD0BB8">
        <w:t xml:space="preserve">s of </w:t>
      </w:r>
      <w:r w:rsidR="00DB6D73">
        <w:t>Preference Shares</w:t>
      </w:r>
      <w:r w:rsidRPr="00BD0BB8">
        <w:t xml:space="preserve"> shall simultaneously receive a participating dividend. This participating dividend shall be calculated on an As-Converted Basis.</w:t>
      </w:r>
    </w:p>
    <w:p w14:paraId="4381A716" w14:textId="46ABCA43" w:rsidR="00060FA1" w:rsidRPr="00BD0BB8" w:rsidRDefault="00060FA1" w:rsidP="006A005A">
      <w:pPr>
        <w:pStyle w:val="Heading2"/>
        <w:keepNext w:val="0"/>
        <w:widowControl w:val="0"/>
        <w:numPr>
          <w:ilvl w:val="0"/>
          <w:numId w:val="0"/>
        </w:numPr>
        <w:ind w:left="709"/>
        <w:jc w:val="both"/>
        <w:rPr>
          <w:b/>
          <w:bCs w:val="0"/>
          <w:szCs w:val="22"/>
        </w:rPr>
      </w:pPr>
      <w:r w:rsidRPr="00BD0BB8">
        <w:rPr>
          <w:b/>
          <w:bCs w:val="0"/>
          <w:szCs w:val="22"/>
        </w:rPr>
        <w:t xml:space="preserve">[Option </w:t>
      </w:r>
      <w:r w:rsidR="00252530" w:rsidRPr="00BD0BB8">
        <w:rPr>
          <w:b/>
          <w:bCs w:val="0"/>
          <w:szCs w:val="22"/>
        </w:rPr>
        <w:t>2</w:t>
      </w:r>
      <w:r w:rsidRPr="00BD0BB8">
        <w:rPr>
          <w:b/>
          <w:bCs w:val="0"/>
          <w:szCs w:val="22"/>
        </w:rPr>
        <w:t>: Non-Cumulative Preferential Dividend</w:t>
      </w:r>
    </w:p>
    <w:p w14:paraId="18758C64" w14:textId="28D30C0A" w:rsidR="006B6766" w:rsidRPr="00BD0BB8" w:rsidRDefault="006B6766" w:rsidP="006A005A">
      <w:pPr>
        <w:pStyle w:val="Heading2"/>
        <w:keepNext w:val="0"/>
        <w:widowControl w:val="0"/>
        <w:numPr>
          <w:ilvl w:val="1"/>
          <w:numId w:val="132"/>
        </w:numPr>
        <w:jc w:val="both"/>
        <w:rPr>
          <w:szCs w:val="22"/>
        </w:rPr>
      </w:pPr>
      <w:bookmarkStart w:id="283" w:name="_Ref209007099"/>
      <w:r w:rsidRPr="00BD0BB8">
        <w:rPr>
          <w:szCs w:val="22"/>
        </w:rPr>
        <w:t>Preferential Dividend</w:t>
      </w:r>
      <w:bookmarkEnd w:id="283"/>
    </w:p>
    <w:p w14:paraId="7097A2E1" w14:textId="036DD1F4" w:rsidR="006B6766" w:rsidRPr="00BD0BB8" w:rsidRDefault="006B6766" w:rsidP="006A005A">
      <w:pPr>
        <w:pStyle w:val="Heading3"/>
        <w:keepNext w:val="0"/>
        <w:keepLines w:val="0"/>
        <w:widowControl w:val="0"/>
        <w:numPr>
          <w:ilvl w:val="2"/>
          <w:numId w:val="129"/>
        </w:numPr>
      </w:pPr>
      <w:r w:rsidRPr="00BD0BB8">
        <w:t>The</w:t>
      </w:r>
      <w:r w:rsidR="007E5EF0" w:rsidRPr="00BD0BB8">
        <w:t xml:space="preserve"> Holder</w:t>
      </w:r>
      <w:r w:rsidRPr="00BD0BB8">
        <w:t xml:space="preserve">s of </w:t>
      </w:r>
      <w:r w:rsidR="002A7E3B">
        <w:t>Series A Shares</w:t>
      </w:r>
      <w:r w:rsidRPr="00BD0BB8">
        <w:t xml:space="preserve"> are entitled to receive, on a pari passu basis, a non-cumulative preferential dividend of […]% of the Original Issue Price per share (</w:t>
      </w:r>
      <w:r w:rsidR="006A005A">
        <w:t>"</w:t>
      </w:r>
      <w:r w:rsidRPr="00BD0BB8">
        <w:t>Preferential Dividend</w:t>
      </w:r>
      <w:r w:rsidR="006A005A">
        <w:t>"</w:t>
      </w:r>
      <w:r w:rsidRPr="00BD0BB8">
        <w:t>). This dividend is payable only when, as, and if declared by the Board, and takes preference over any other dividend declared by the Company in the same calendar year. If not declared in a calendar year, the right to this dividend for that year is forfeited.</w:t>
      </w:r>
    </w:p>
    <w:p w14:paraId="045087AE" w14:textId="77777777" w:rsidR="006B6766" w:rsidRPr="00BD0BB8" w:rsidRDefault="006B6766" w:rsidP="006A005A">
      <w:pPr>
        <w:pStyle w:val="DA2SecondLevel"/>
        <w:keepNext w:val="0"/>
        <w:widowControl w:val="0"/>
        <w:numPr>
          <w:ilvl w:val="0"/>
          <w:numId w:val="0"/>
        </w:numPr>
        <w:ind w:left="1418"/>
        <w:jc w:val="both"/>
      </w:pPr>
      <w:r w:rsidRPr="00BD0BB8">
        <w:t>Participating Dividend</w:t>
      </w:r>
    </w:p>
    <w:p w14:paraId="2071CE18" w14:textId="58F470E8" w:rsidR="006B6766" w:rsidRPr="00BD0BB8" w:rsidRDefault="006B6766" w:rsidP="006A005A">
      <w:pPr>
        <w:pStyle w:val="DA3Third"/>
      </w:pPr>
      <w:r w:rsidRPr="00BD0BB8">
        <w:t>In addition to the Preferential Dividend, if the Company declares a dividend on any other class of shares (other than a dividend on Ordinary Shares payable in Ordinary Shares), the</w:t>
      </w:r>
      <w:r w:rsidR="007E5EF0" w:rsidRPr="00BD0BB8">
        <w:t xml:space="preserve"> Holder</w:t>
      </w:r>
      <w:r w:rsidRPr="00BD0BB8">
        <w:t xml:space="preserve">s of </w:t>
      </w:r>
      <w:r w:rsidR="00DB6D73">
        <w:t>Preference Shares</w:t>
      </w:r>
      <w:r w:rsidRPr="00BD0BB8">
        <w:t xml:space="preserve"> shall simultaneously receive a participating dividend. This participating dividend shall be calculated on an As-Converted Basis.</w:t>
      </w:r>
      <w:r w:rsidR="00252530" w:rsidRPr="00BD0BB8">
        <w:t>]</w:t>
      </w:r>
    </w:p>
    <w:p w14:paraId="48FC24D1" w14:textId="554F4A6B" w:rsidR="006B6766" w:rsidRPr="00BD0BB8" w:rsidRDefault="006A76A7" w:rsidP="006A005A">
      <w:pPr>
        <w:pStyle w:val="Heading2"/>
        <w:keepNext w:val="0"/>
        <w:widowControl w:val="0"/>
        <w:numPr>
          <w:ilvl w:val="0"/>
          <w:numId w:val="0"/>
        </w:numPr>
        <w:ind w:left="1418" w:hanging="709"/>
        <w:jc w:val="both"/>
        <w:rPr>
          <w:b/>
          <w:bCs w:val="0"/>
          <w:szCs w:val="22"/>
        </w:rPr>
      </w:pPr>
      <w:r w:rsidRPr="00BD0BB8">
        <w:rPr>
          <w:b/>
          <w:bCs w:val="0"/>
          <w:szCs w:val="22"/>
        </w:rPr>
        <w:t>[</w:t>
      </w:r>
      <w:r w:rsidR="006B6766" w:rsidRPr="00BD0BB8">
        <w:rPr>
          <w:b/>
          <w:bCs w:val="0"/>
          <w:szCs w:val="22"/>
        </w:rPr>
        <w:t xml:space="preserve">Option 3: Cumulative Preferential Dividend with Participation </w:t>
      </w:r>
    </w:p>
    <w:p w14:paraId="0C1D4550" w14:textId="77777777" w:rsidR="006B6766" w:rsidRPr="00BD0BB8" w:rsidRDefault="006B6766" w:rsidP="006A005A">
      <w:pPr>
        <w:pStyle w:val="Heading2"/>
        <w:keepNext w:val="0"/>
        <w:widowControl w:val="0"/>
        <w:numPr>
          <w:ilvl w:val="1"/>
          <w:numId w:val="134"/>
        </w:numPr>
        <w:jc w:val="both"/>
        <w:rPr>
          <w:szCs w:val="22"/>
        </w:rPr>
      </w:pPr>
      <w:r w:rsidRPr="00BD0BB8">
        <w:rPr>
          <w:szCs w:val="22"/>
        </w:rPr>
        <w:t>Accruing Dividends</w:t>
      </w:r>
    </w:p>
    <w:p w14:paraId="59F8CA4E" w14:textId="6D5DA7BF" w:rsidR="006B6766" w:rsidRPr="00BD0BB8" w:rsidRDefault="006B6766" w:rsidP="006A005A">
      <w:pPr>
        <w:pStyle w:val="Heading3"/>
        <w:keepNext w:val="0"/>
        <w:keepLines w:val="0"/>
        <w:widowControl w:val="0"/>
        <w:numPr>
          <w:ilvl w:val="2"/>
          <w:numId w:val="130"/>
        </w:numPr>
      </w:pPr>
      <w:bookmarkStart w:id="284" w:name="_Ref209007055"/>
      <w:r w:rsidRPr="00BD0BB8">
        <w:t>From its date of issue, a dividend at an annual rate of [8]% of the Original Issue Price shall accrue daily on each Preferred Share on a cumulative basis (</w:t>
      </w:r>
      <w:r w:rsidR="006A005A">
        <w:t>"</w:t>
      </w:r>
      <w:r w:rsidRPr="00BD0BB8">
        <w:t>Accruing Dividends</w:t>
      </w:r>
      <w:r w:rsidR="006A005A">
        <w:t>"</w:t>
      </w:r>
      <w:r w:rsidRPr="00BD0BB8">
        <w:t>). Accruing Dividends accumulate whether or not they have been declared by the Board.</w:t>
      </w:r>
      <w:r w:rsidR="006A76A7" w:rsidRPr="00BD0BB8">
        <w:rPr>
          <w:b/>
          <w:bCs/>
        </w:rPr>
        <w:t>]</w:t>
      </w:r>
      <w:bookmarkEnd w:id="284"/>
    </w:p>
    <w:p w14:paraId="3875EDAD" w14:textId="5D3118D7" w:rsidR="006B6766" w:rsidRPr="00BD0BB8" w:rsidRDefault="006B6766" w:rsidP="006A005A">
      <w:pPr>
        <w:pStyle w:val="DA2SecondLevel"/>
        <w:keepNext w:val="0"/>
        <w:widowControl w:val="0"/>
        <w:jc w:val="both"/>
        <w:rPr>
          <w:b/>
          <w:bCs w:val="0"/>
        </w:rPr>
      </w:pPr>
      <w:r w:rsidRPr="00BD0BB8">
        <w:rPr>
          <w:b/>
          <w:bCs w:val="0"/>
        </w:rPr>
        <w:lastRenderedPageBreak/>
        <w:t xml:space="preserve">Restriction on </w:t>
      </w:r>
      <w:r w:rsidR="00BA2908" w:rsidRPr="00BD0BB8">
        <w:rPr>
          <w:b/>
          <w:bCs w:val="0"/>
        </w:rPr>
        <w:t xml:space="preserve">other </w:t>
      </w:r>
      <w:r w:rsidRPr="00BD0BB8">
        <w:rPr>
          <w:b/>
          <w:bCs w:val="0"/>
        </w:rPr>
        <w:t>Dividends</w:t>
      </w:r>
    </w:p>
    <w:p w14:paraId="1F2BC96F" w14:textId="2B713EBF" w:rsidR="006B6766" w:rsidRPr="00BD0BB8" w:rsidRDefault="006B6766" w:rsidP="006A005A">
      <w:pPr>
        <w:pStyle w:val="Heading3"/>
        <w:keepNext w:val="0"/>
        <w:keepLines w:val="0"/>
        <w:widowControl w:val="0"/>
      </w:pPr>
      <w:r w:rsidRPr="00BD0BB8">
        <w:t>The Company shall not declare or pay any dividend on any other class of shares (other than a dividend on Ordinary Shares payable in Ordinary Shares) unless the</w:t>
      </w:r>
      <w:r w:rsidR="007E5EF0" w:rsidRPr="00BD0BB8">
        <w:t xml:space="preserve"> Holder</w:t>
      </w:r>
      <w:r w:rsidRPr="00BD0BB8">
        <w:t xml:space="preserve">s of </w:t>
      </w:r>
      <w:r w:rsidR="00DB6D73">
        <w:t>Preference Shares</w:t>
      </w:r>
      <w:r w:rsidRPr="00BD0BB8">
        <w:t xml:space="preserve"> first receive, or simultaneously receive, a payment per share equal to the sum of:</w:t>
      </w:r>
    </w:p>
    <w:p w14:paraId="6DDB7B04" w14:textId="77777777" w:rsidR="006B6766" w:rsidRPr="00BD0BB8" w:rsidRDefault="006B6766" w:rsidP="006A005A">
      <w:pPr>
        <w:pStyle w:val="Heading4"/>
        <w:rPr>
          <w:rFonts w:cs="Arial"/>
          <w:szCs w:val="22"/>
        </w:rPr>
      </w:pPr>
      <w:r w:rsidRPr="00BD0BB8">
        <w:rPr>
          <w:rFonts w:cs="Arial"/>
          <w:szCs w:val="22"/>
        </w:rPr>
        <w:t>all unpaid Accruing Dividends; and</w:t>
      </w:r>
    </w:p>
    <w:p w14:paraId="180B448A" w14:textId="77777777" w:rsidR="006B6766" w:rsidRPr="00BD0BB8" w:rsidRDefault="006B6766" w:rsidP="006A005A">
      <w:pPr>
        <w:pStyle w:val="Heading4"/>
        <w:rPr>
          <w:rFonts w:cs="Arial"/>
          <w:szCs w:val="22"/>
        </w:rPr>
      </w:pPr>
      <w:r w:rsidRPr="00BD0BB8">
        <w:rPr>
          <w:rFonts w:cs="Arial"/>
          <w:szCs w:val="22"/>
        </w:rPr>
        <w:t>a participating dividend calculated on an As-Converted Basis.</w:t>
      </w:r>
    </w:p>
    <w:p w14:paraId="03510DD2" w14:textId="77777777" w:rsidR="006B6766" w:rsidRPr="00BD0BB8" w:rsidRDefault="006B6766" w:rsidP="006A005A">
      <w:pPr>
        <w:pStyle w:val="DA2SecondLevel"/>
        <w:keepNext w:val="0"/>
        <w:widowControl w:val="0"/>
        <w:jc w:val="both"/>
      </w:pPr>
      <w:r w:rsidRPr="00BD0BB8">
        <w:t>Authorisation of Distributions</w:t>
      </w:r>
    </w:p>
    <w:p w14:paraId="578BE0CB" w14:textId="77777777" w:rsidR="006B6766" w:rsidRPr="00BD0BB8" w:rsidRDefault="006B6766" w:rsidP="006A005A">
      <w:pPr>
        <w:pStyle w:val="DA3Third"/>
      </w:pPr>
      <w:r w:rsidRPr="00BD0BB8">
        <w:t>The Board may authorise the Company to make a Distribution to Shareholders at any time, provided that:</w:t>
      </w:r>
    </w:p>
    <w:p w14:paraId="2C3BABBC" w14:textId="77777777" w:rsidR="006B6766" w:rsidRPr="00BD0BB8" w:rsidRDefault="006B6766" w:rsidP="006A005A">
      <w:pPr>
        <w:pStyle w:val="DA4ThirdLevelNumbering"/>
        <w:rPr>
          <w:rFonts w:cs="Arial"/>
          <w:szCs w:val="22"/>
        </w:rPr>
      </w:pPr>
      <w:r w:rsidRPr="00BD0BB8">
        <w:rPr>
          <w:rFonts w:cs="Arial"/>
          <w:szCs w:val="22"/>
        </w:rPr>
        <w:t>The Board has, by resolution, confirmed that it has applied the Solvency and Liquidity Test as set out in the Companies Act, and reasonably concluded that the Company will satisfy the test immediately after completing the proposed Distribution;</w:t>
      </w:r>
    </w:p>
    <w:p w14:paraId="08380991" w14:textId="77777777" w:rsidR="006B6766" w:rsidRPr="00BD0BB8" w:rsidRDefault="006B6766" w:rsidP="006A005A">
      <w:pPr>
        <w:pStyle w:val="DA4ThirdLevelNumbering"/>
        <w:rPr>
          <w:rFonts w:cs="Arial"/>
          <w:szCs w:val="22"/>
        </w:rPr>
      </w:pPr>
      <w:r w:rsidRPr="00BD0BB8">
        <w:rPr>
          <w:rFonts w:cs="Arial"/>
          <w:szCs w:val="22"/>
        </w:rPr>
        <w:t>The Distribution is made not more than 120 business days after the Board has passed the resolution referred to above, failing which a new resolution and solvency and liquidity assessment is required; and</w:t>
      </w:r>
    </w:p>
    <w:p w14:paraId="68D3B0FA" w14:textId="745B595D" w:rsidR="006B6766" w:rsidRPr="00BD0BB8" w:rsidRDefault="006B6766" w:rsidP="006A005A">
      <w:pPr>
        <w:pStyle w:val="DA4ThirdLevelNumbering"/>
        <w:rPr>
          <w:rFonts w:cs="Arial"/>
          <w:szCs w:val="22"/>
        </w:rPr>
      </w:pPr>
      <w:r w:rsidRPr="00BD0BB8">
        <w:rPr>
          <w:rFonts w:cs="Arial"/>
          <w:szCs w:val="22"/>
        </w:rPr>
        <w:t>All shareholder loan accounts have been repaid in full, unless the payment of the Distribution has been approved in accordance with</w:t>
      </w:r>
      <w:r w:rsidR="008D6F0A">
        <w:rPr>
          <w:rFonts w:cs="Arial"/>
          <w:szCs w:val="22"/>
        </w:rPr>
        <w:t xml:space="preserve"> this paragraph </w:t>
      </w:r>
      <w:r w:rsidR="008D6F0A">
        <w:rPr>
          <w:rFonts w:cs="Arial"/>
          <w:szCs w:val="22"/>
        </w:rPr>
        <w:fldChar w:fldCharType="begin"/>
      </w:r>
      <w:r w:rsidR="008D6F0A">
        <w:rPr>
          <w:rFonts w:cs="Arial"/>
          <w:szCs w:val="22"/>
        </w:rPr>
        <w:instrText xml:space="preserve"> REF _Ref209007180 \r \h </w:instrText>
      </w:r>
      <w:r w:rsidR="006A005A">
        <w:rPr>
          <w:rFonts w:cs="Arial"/>
          <w:szCs w:val="22"/>
        </w:rPr>
        <w:instrText xml:space="preserve"> \* MERGEFORMAT </w:instrText>
      </w:r>
      <w:r w:rsidR="008D6F0A">
        <w:rPr>
          <w:rFonts w:cs="Arial"/>
          <w:szCs w:val="22"/>
        </w:rPr>
      </w:r>
      <w:r w:rsidR="008D6F0A">
        <w:rPr>
          <w:rFonts w:cs="Arial"/>
          <w:szCs w:val="22"/>
        </w:rPr>
        <w:fldChar w:fldCharType="separate"/>
      </w:r>
      <w:r w:rsidR="00633773">
        <w:rPr>
          <w:rFonts w:cs="Arial"/>
          <w:szCs w:val="22"/>
        </w:rPr>
        <w:t>4</w:t>
      </w:r>
      <w:r w:rsidR="008D6F0A">
        <w:rPr>
          <w:rFonts w:cs="Arial"/>
          <w:szCs w:val="22"/>
        </w:rPr>
        <w:fldChar w:fldCharType="end"/>
      </w:r>
      <w:r w:rsidRPr="00BD0BB8">
        <w:rPr>
          <w:rFonts w:cs="Arial"/>
          <w:szCs w:val="22"/>
        </w:rPr>
        <w:t>.</w:t>
      </w:r>
    </w:p>
    <w:p w14:paraId="1C395498" w14:textId="77777777" w:rsidR="006B6766" w:rsidRPr="00BD0BB8" w:rsidRDefault="006B6766" w:rsidP="006A005A">
      <w:pPr>
        <w:pStyle w:val="DA2SecondLevel"/>
        <w:keepNext w:val="0"/>
        <w:widowControl w:val="0"/>
        <w:jc w:val="both"/>
      </w:pPr>
      <w:r w:rsidRPr="00BD0BB8">
        <w:t>Unclaimed Distributions</w:t>
      </w:r>
    </w:p>
    <w:p w14:paraId="5E6F02AA" w14:textId="77777777" w:rsidR="006B6766" w:rsidRPr="00BD0BB8" w:rsidRDefault="006B6766" w:rsidP="006A005A">
      <w:pPr>
        <w:pStyle w:val="DA3Third"/>
      </w:pPr>
      <w:r w:rsidRPr="00BD0BB8">
        <w:t>The Board may invest or otherwise use any unclaimed Distributions for the benefit of the Company until they are claimed by the rightful Shareholder.</w:t>
      </w:r>
    </w:p>
    <w:p w14:paraId="63C61D7B" w14:textId="77777777" w:rsidR="006B6766" w:rsidRPr="00BD0BB8" w:rsidRDefault="006B6766" w:rsidP="006A005A">
      <w:pPr>
        <w:pStyle w:val="DA3Third"/>
      </w:pPr>
      <w:r w:rsidRPr="00BD0BB8">
        <w:t>Any Distribution that remains unclaimed for a period of three years from the date it became payable may be forfeited by a resolution of the Board, and the funds will then become the property of the Company.</w:t>
      </w:r>
    </w:p>
    <w:p w14:paraId="4265DCD6" w14:textId="77777777" w:rsidR="006B6766" w:rsidRPr="00BD0BB8" w:rsidRDefault="006B6766" w:rsidP="006A005A">
      <w:pPr>
        <w:pStyle w:val="DA3Third"/>
      </w:pPr>
      <w:r w:rsidRPr="00BD0BB8">
        <w:t>The Company may delegate the administration of its unclaimed Distributions to a registered bank or other suitable financial institution.</w:t>
      </w:r>
    </w:p>
    <w:p w14:paraId="58D5DFD2" w14:textId="77777777" w:rsidR="006B6766" w:rsidRPr="00BD0BB8" w:rsidRDefault="006B6766" w:rsidP="006A005A">
      <w:pPr>
        <w:pStyle w:val="DA2SecondLevel"/>
        <w:keepNext w:val="0"/>
        <w:widowControl w:val="0"/>
        <w:jc w:val="both"/>
      </w:pPr>
      <w:r w:rsidRPr="00BD0BB8">
        <w:t>Payment Instructions</w:t>
      </w:r>
    </w:p>
    <w:p w14:paraId="1FF87294" w14:textId="77777777" w:rsidR="006B6766" w:rsidRPr="00BD0BB8" w:rsidRDefault="006B6766" w:rsidP="006A005A">
      <w:pPr>
        <w:pStyle w:val="DA3Third"/>
      </w:pPr>
      <w:r w:rsidRPr="00BD0BB8">
        <w:lastRenderedPageBreak/>
        <w:t>Once a Distribution has been approved by the Board, any subsequent change to a Shareholder’s payment instructions or address will only apply to future Distributions, unless the Board decides otherwise.</w:t>
      </w:r>
    </w:p>
    <w:p w14:paraId="08A36579" w14:textId="5DE8EC6D" w:rsidR="00076D92" w:rsidRPr="00BD0BB8" w:rsidRDefault="00446F10" w:rsidP="006A005A">
      <w:pPr>
        <w:pStyle w:val="Heading1"/>
        <w:keepNext w:val="0"/>
        <w:widowControl w:val="0"/>
        <w:numPr>
          <w:ilvl w:val="0"/>
          <w:numId w:val="42"/>
        </w:numPr>
        <w:jc w:val="both"/>
        <w:rPr>
          <w:rFonts w:ascii="Arial" w:hAnsi="Arial"/>
        </w:rPr>
      </w:pPr>
      <w:bookmarkStart w:id="285" w:name="_Ref209004678"/>
      <w:r w:rsidRPr="00BD0BB8">
        <w:rPr>
          <w:rFonts w:ascii="Arial" w:hAnsi="Arial"/>
        </w:rPr>
        <w:t>LIQUIDITY PREFERENCE</w:t>
      </w:r>
      <w:bookmarkEnd w:id="285"/>
    </w:p>
    <w:p w14:paraId="7F78920B" w14:textId="191177A1" w:rsidR="00076D92" w:rsidRPr="00BD0BB8" w:rsidRDefault="00076D92" w:rsidP="006A005A">
      <w:pPr>
        <w:pStyle w:val="DA2SecondLevel"/>
        <w:keepNext w:val="0"/>
        <w:widowControl w:val="0"/>
        <w:jc w:val="both"/>
      </w:pPr>
      <w:bookmarkStart w:id="286" w:name="_Ref362986806"/>
      <w:r w:rsidRPr="00BD0BB8">
        <w:t>Upon the occurrence of a Liquidity Event</w:t>
      </w:r>
      <w:r w:rsidR="005662A4" w:rsidRPr="00BD0BB8">
        <w:t xml:space="preserve">, </w:t>
      </w:r>
      <w:r w:rsidR="00F26F69" w:rsidRPr="00BD0BB8">
        <w:t xml:space="preserve">the Proceeds </w:t>
      </w:r>
      <w:r w:rsidRPr="00BD0BB8">
        <w:t>shall be distributed as follows:</w:t>
      </w:r>
      <w:bookmarkEnd w:id="286"/>
      <w:r w:rsidR="00F26F69" w:rsidRPr="00BD0BB8">
        <w:t xml:space="preserve">  </w:t>
      </w:r>
    </w:p>
    <w:p w14:paraId="4F87ADF3" w14:textId="707FEF38" w:rsidR="00076D92" w:rsidRPr="00BD0BB8" w:rsidRDefault="00076D92" w:rsidP="006A005A">
      <w:pPr>
        <w:pStyle w:val="DA3Third"/>
      </w:pPr>
      <w:bookmarkStart w:id="287" w:name="_Ref362986874"/>
      <w:r w:rsidRPr="00BD0BB8">
        <w:t xml:space="preserve">first, the Holders of </w:t>
      </w:r>
      <w:r w:rsidR="00DE6F71" w:rsidRPr="00BD0BB8">
        <w:t>Series A Share</w:t>
      </w:r>
      <w:r w:rsidR="005662A4" w:rsidRPr="00BD0BB8">
        <w:t>s</w:t>
      </w:r>
      <w:r w:rsidRPr="00BD0BB8">
        <w:t xml:space="preserve"> then </w:t>
      </w:r>
      <w:r w:rsidR="00703C01">
        <w:t>issued</w:t>
      </w:r>
      <w:r w:rsidRPr="00BD0BB8">
        <w:t xml:space="preserve"> shall be entitled to receive, </w:t>
      </w:r>
      <w:r w:rsidR="00FA3F55" w:rsidRPr="00BD0BB8">
        <w:t xml:space="preserve">in preference to any other Shareholder but </w:t>
      </w:r>
      <w:r w:rsidR="00FA3F55" w:rsidRPr="00BD0BB8">
        <w:rPr>
          <w:i/>
        </w:rPr>
        <w:t>pari passu</w:t>
      </w:r>
      <w:r w:rsidR="00FA3F55" w:rsidRPr="00BD0BB8">
        <w:t xml:space="preserve"> with other </w:t>
      </w:r>
      <w:r w:rsidR="007D61F4" w:rsidRPr="00BD0BB8">
        <w:t>Holder</w:t>
      </w:r>
      <w:r w:rsidR="00FA3F55" w:rsidRPr="00BD0BB8">
        <w:t xml:space="preserve">s of </w:t>
      </w:r>
      <w:r w:rsidR="00DE6F71" w:rsidRPr="00BD0BB8">
        <w:t>Series A Share</w:t>
      </w:r>
      <w:r w:rsidR="00F26F69" w:rsidRPr="00BD0BB8">
        <w:t>s</w:t>
      </w:r>
      <w:r w:rsidR="00FA3F55" w:rsidRPr="00BD0BB8">
        <w:t xml:space="preserve">, an amount per </w:t>
      </w:r>
      <w:r w:rsidR="00DE6F71" w:rsidRPr="00BD0BB8">
        <w:t>Series A</w:t>
      </w:r>
      <w:r w:rsidR="00FA3F55" w:rsidRPr="00BD0BB8">
        <w:t xml:space="preserve"> Share equal to the greater of: </w:t>
      </w:r>
      <w:bookmarkEnd w:id="287"/>
    </w:p>
    <w:p w14:paraId="541C4F4A" w14:textId="490407E6" w:rsidR="00A401ED" w:rsidRPr="00BD0BB8" w:rsidRDefault="00F26F69" w:rsidP="006A005A">
      <w:pPr>
        <w:widowControl w:val="0"/>
        <w:ind w:left="1843" w:firstLine="284"/>
        <w:rPr>
          <w:rFonts w:cs="Arial"/>
          <w:bCs/>
          <w:i/>
          <w:iCs/>
          <w:lang w:val="en-US"/>
        </w:rPr>
      </w:pPr>
      <w:r w:rsidRPr="00BD0BB8">
        <w:rPr>
          <w:rFonts w:cs="Arial"/>
          <w:bCs/>
          <w:i/>
          <w:iCs/>
          <w:lang w:val="en-US"/>
        </w:rPr>
        <w:t>[</w:t>
      </w:r>
      <w:r w:rsidR="00A401ED" w:rsidRPr="00BD0BB8">
        <w:rPr>
          <w:rFonts w:cs="Arial"/>
          <w:bCs/>
          <w:i/>
          <w:iCs/>
          <w:lang w:val="en-US"/>
        </w:rPr>
        <w:t>Option A: Non-Participating Preference</w:t>
      </w:r>
    </w:p>
    <w:p w14:paraId="689F026F" w14:textId="77777777" w:rsidR="00A401ED" w:rsidRPr="00BD0BB8" w:rsidRDefault="00A401ED" w:rsidP="006A005A">
      <w:pPr>
        <w:widowControl w:val="0"/>
        <w:ind w:left="1843" w:firstLine="284"/>
        <w:rPr>
          <w:rFonts w:cs="Arial"/>
          <w:bCs/>
          <w:i/>
          <w:color w:val="000000"/>
        </w:rPr>
      </w:pPr>
    </w:p>
    <w:p w14:paraId="23292A28" w14:textId="4F499F53" w:rsidR="00FA3F55" w:rsidRPr="00BD0BB8" w:rsidRDefault="00FA3F55" w:rsidP="006A005A">
      <w:pPr>
        <w:pStyle w:val="DA4ThirdLevelNumbering"/>
        <w:rPr>
          <w:rFonts w:cs="Arial"/>
          <w:szCs w:val="22"/>
        </w:rPr>
      </w:pPr>
      <w:bookmarkStart w:id="288" w:name="_Ref362986831"/>
      <w:r w:rsidRPr="00BD0BB8">
        <w:rPr>
          <w:rFonts w:cs="Arial"/>
          <w:szCs w:val="22"/>
        </w:rPr>
        <w:t xml:space="preserve"> </w:t>
      </w:r>
      <w:r w:rsidR="00A401ED" w:rsidRPr="00BD0BB8">
        <w:rPr>
          <w:rFonts w:cs="Arial"/>
          <w:szCs w:val="22"/>
        </w:rPr>
        <w:t>[1.0] times the Original Issue Price, plus any accrued and unpaid dividends</w:t>
      </w:r>
      <w:r w:rsidR="00212F81" w:rsidRPr="00BD0BB8">
        <w:rPr>
          <w:rStyle w:val="FootnoteReference"/>
          <w:rFonts w:cs="Arial"/>
          <w:szCs w:val="22"/>
        </w:rPr>
        <w:footnoteReference w:id="132"/>
      </w:r>
      <w:r w:rsidR="00A401ED" w:rsidRPr="00BD0BB8">
        <w:rPr>
          <w:rFonts w:cs="Arial"/>
          <w:szCs w:val="22"/>
        </w:rPr>
        <w:t>;</w:t>
      </w:r>
      <w:r w:rsidR="004B0C00">
        <w:rPr>
          <w:rFonts w:cs="Arial"/>
          <w:szCs w:val="22"/>
        </w:rPr>
        <w:t xml:space="preserve"> or</w:t>
      </w:r>
    </w:p>
    <w:p w14:paraId="7D430310" w14:textId="27D4E4CC" w:rsidR="00FA3F55" w:rsidRPr="00BD0BB8" w:rsidRDefault="00A401ED" w:rsidP="006A005A">
      <w:pPr>
        <w:pStyle w:val="DA4ThirdLevelNumbering"/>
        <w:rPr>
          <w:rFonts w:cs="Arial"/>
          <w:szCs w:val="22"/>
        </w:rPr>
      </w:pPr>
      <w:r w:rsidRPr="00BD0BB8">
        <w:rPr>
          <w:rFonts w:cs="Arial"/>
          <w:szCs w:val="22"/>
        </w:rPr>
        <w:t xml:space="preserve">the amount the Holder would have received had the </w:t>
      </w:r>
      <w:r w:rsidR="00F26F69" w:rsidRPr="00BD0BB8">
        <w:rPr>
          <w:rFonts w:cs="Arial"/>
          <w:szCs w:val="22"/>
        </w:rPr>
        <w:t xml:space="preserve">Series A Shares </w:t>
      </w:r>
      <w:r w:rsidRPr="00BD0BB8">
        <w:rPr>
          <w:rFonts w:cs="Arial"/>
          <w:szCs w:val="22"/>
        </w:rPr>
        <w:t xml:space="preserve">been converted into Ordinary Shares pursuant to paragraph </w:t>
      </w:r>
      <w:r w:rsidR="00BD0BB8">
        <w:rPr>
          <w:rFonts w:cs="Arial"/>
          <w:szCs w:val="22"/>
        </w:rPr>
        <w:fldChar w:fldCharType="begin"/>
      </w:r>
      <w:r w:rsidR="00BD0BB8">
        <w:rPr>
          <w:rFonts w:cs="Arial"/>
          <w:szCs w:val="22"/>
        </w:rPr>
        <w:instrText xml:space="preserve"> REF _Ref209005112 \r \h </w:instrText>
      </w:r>
      <w:r w:rsidR="006A005A">
        <w:rPr>
          <w:rFonts w:cs="Arial"/>
          <w:szCs w:val="22"/>
        </w:rPr>
        <w:instrText xml:space="preserve"> \* MERGEFORMAT </w:instrText>
      </w:r>
      <w:r w:rsidR="00BD0BB8">
        <w:rPr>
          <w:rFonts w:cs="Arial"/>
          <w:szCs w:val="22"/>
        </w:rPr>
      </w:r>
      <w:r w:rsidR="00BD0BB8">
        <w:rPr>
          <w:rFonts w:cs="Arial"/>
          <w:szCs w:val="22"/>
        </w:rPr>
        <w:fldChar w:fldCharType="separate"/>
      </w:r>
      <w:r w:rsidR="00633773">
        <w:rPr>
          <w:rFonts w:cs="Arial"/>
          <w:szCs w:val="22"/>
        </w:rPr>
        <w:t>6</w:t>
      </w:r>
      <w:r w:rsidR="00BD0BB8">
        <w:rPr>
          <w:rFonts w:cs="Arial"/>
          <w:szCs w:val="22"/>
        </w:rPr>
        <w:fldChar w:fldCharType="end"/>
      </w:r>
      <w:r w:rsidRPr="00BD0BB8">
        <w:rPr>
          <w:rFonts w:cs="Arial"/>
          <w:szCs w:val="22"/>
        </w:rPr>
        <w:t xml:space="preserve"> immediately prior to the Liquidity Event.</w:t>
      </w:r>
      <w:r w:rsidR="00F26F69" w:rsidRPr="00BD0BB8">
        <w:rPr>
          <w:rFonts w:cs="Arial"/>
          <w:szCs w:val="22"/>
        </w:rPr>
        <w:t>]</w:t>
      </w:r>
    </w:p>
    <w:p w14:paraId="765FE11E" w14:textId="576B435C" w:rsidR="00A401ED" w:rsidRPr="00BD0BB8" w:rsidRDefault="00F26F69" w:rsidP="006A005A">
      <w:pPr>
        <w:pStyle w:val="DA4ThirdLevelNumbering"/>
        <w:numPr>
          <w:ilvl w:val="0"/>
          <w:numId w:val="0"/>
        </w:numPr>
        <w:ind w:left="2127"/>
        <w:rPr>
          <w:rFonts w:cs="Arial"/>
          <w:i/>
          <w:iCs/>
          <w:szCs w:val="22"/>
        </w:rPr>
      </w:pPr>
      <w:r w:rsidRPr="00BD0BB8">
        <w:rPr>
          <w:rFonts w:cs="Arial"/>
          <w:i/>
          <w:iCs/>
          <w:szCs w:val="22"/>
        </w:rPr>
        <w:t>[</w:t>
      </w:r>
      <w:r w:rsidR="00A401ED" w:rsidRPr="00BD0BB8">
        <w:rPr>
          <w:rFonts w:cs="Arial"/>
          <w:i/>
          <w:iCs/>
          <w:szCs w:val="22"/>
        </w:rPr>
        <w:t>Option B: Participating Preference</w:t>
      </w:r>
    </w:p>
    <w:p w14:paraId="5B314BD5" w14:textId="33691870" w:rsidR="00A401ED" w:rsidRPr="00BD0BB8" w:rsidRDefault="00A401ED" w:rsidP="006A005A">
      <w:pPr>
        <w:pStyle w:val="Heading4"/>
        <w:numPr>
          <w:ilvl w:val="3"/>
          <w:numId w:val="145"/>
        </w:numPr>
        <w:rPr>
          <w:rFonts w:cs="Arial"/>
          <w:szCs w:val="22"/>
        </w:rPr>
      </w:pPr>
      <w:r w:rsidRPr="00BD0BB8">
        <w:rPr>
          <w:rFonts w:cs="Arial"/>
          <w:szCs w:val="22"/>
        </w:rPr>
        <w:t>an amount equal to [1.0] times the Original Issue Price, plus any accrued and unpaid dividends. After this amount has been paid in full, the</w:t>
      </w:r>
      <w:r w:rsidR="007E5EF0" w:rsidRPr="00BD0BB8">
        <w:rPr>
          <w:rFonts w:cs="Arial"/>
          <w:szCs w:val="22"/>
        </w:rPr>
        <w:t xml:space="preserve"> Holder</w:t>
      </w:r>
      <w:r w:rsidRPr="00BD0BB8">
        <w:rPr>
          <w:rFonts w:cs="Arial"/>
          <w:szCs w:val="22"/>
        </w:rPr>
        <w:t>s of Series A Shares will participate with the</w:t>
      </w:r>
      <w:r w:rsidR="007E5EF0" w:rsidRPr="00BD0BB8">
        <w:rPr>
          <w:rFonts w:cs="Arial"/>
          <w:szCs w:val="22"/>
        </w:rPr>
        <w:t xml:space="preserve"> Holder</w:t>
      </w:r>
      <w:r w:rsidRPr="00BD0BB8">
        <w:rPr>
          <w:rFonts w:cs="Arial"/>
          <w:szCs w:val="22"/>
        </w:rPr>
        <w:t>s of Ordinary Shares in the distribution of the remaining Proceeds on an as-converted basis.]</w:t>
      </w:r>
      <w:r w:rsidR="00212F81" w:rsidRPr="00BD0BB8">
        <w:rPr>
          <w:rStyle w:val="FootnoteReference"/>
          <w:rFonts w:cs="Arial"/>
          <w:szCs w:val="22"/>
        </w:rPr>
        <w:footnoteReference w:id="133"/>
      </w:r>
    </w:p>
    <w:p w14:paraId="0ED98868" w14:textId="27408838" w:rsidR="00076D92" w:rsidRPr="00BD0BB8" w:rsidRDefault="00FA3F55" w:rsidP="006A005A">
      <w:pPr>
        <w:pStyle w:val="Heading3"/>
        <w:keepNext w:val="0"/>
        <w:keepLines w:val="0"/>
        <w:widowControl w:val="0"/>
        <w:numPr>
          <w:ilvl w:val="0"/>
          <w:numId w:val="0"/>
        </w:numPr>
        <w:ind w:left="1985"/>
      </w:pPr>
      <w:r w:rsidRPr="00BD0BB8">
        <w:t xml:space="preserve">(such amount referred to as the </w:t>
      </w:r>
      <w:r w:rsidR="006A005A">
        <w:t>"</w:t>
      </w:r>
      <w:bookmarkStart w:id="289" w:name="_Hlk207896717"/>
      <w:r w:rsidR="00DE6F71" w:rsidRPr="00BD0BB8">
        <w:rPr>
          <w:b/>
        </w:rPr>
        <w:t>Series A Share</w:t>
      </w:r>
      <w:r w:rsidR="00D0655B" w:rsidRPr="00BD0BB8">
        <w:rPr>
          <w:b/>
        </w:rPr>
        <w:t xml:space="preserve"> </w:t>
      </w:r>
      <w:r w:rsidRPr="00BD0BB8">
        <w:rPr>
          <w:b/>
        </w:rPr>
        <w:t>Liquidity Preference</w:t>
      </w:r>
      <w:bookmarkEnd w:id="289"/>
      <w:r w:rsidR="006A005A">
        <w:t>"</w:t>
      </w:r>
      <w:r w:rsidRPr="00BD0BB8">
        <w:t>)</w:t>
      </w:r>
      <w:bookmarkEnd w:id="288"/>
      <w:r w:rsidR="00381096" w:rsidRPr="00BD0BB8">
        <w:rPr>
          <w:rStyle w:val="FootnoteReference"/>
        </w:rPr>
        <w:footnoteReference w:id="134"/>
      </w:r>
      <w:r w:rsidR="00076D92" w:rsidRPr="00BD0BB8">
        <w:t>;</w:t>
      </w:r>
    </w:p>
    <w:p w14:paraId="482C83E2" w14:textId="3652488B" w:rsidR="00A401ED" w:rsidRPr="00BD0BB8" w:rsidRDefault="00A401ED" w:rsidP="006A005A">
      <w:pPr>
        <w:pStyle w:val="DA2SecondLevel"/>
        <w:keepNext w:val="0"/>
        <w:widowControl w:val="0"/>
        <w:jc w:val="both"/>
      </w:pPr>
      <w:r w:rsidRPr="00BD0BB8">
        <w:rPr>
          <w:b/>
        </w:rPr>
        <w:lastRenderedPageBreak/>
        <w:t xml:space="preserve">Insufficient </w:t>
      </w:r>
      <w:r w:rsidR="00F26F69" w:rsidRPr="00BD0BB8">
        <w:rPr>
          <w:b/>
        </w:rPr>
        <w:t>Proceeds:</w:t>
      </w:r>
      <w:r w:rsidR="00F26F69" w:rsidRPr="00BD0BB8">
        <w:t xml:space="preserve"> If</w:t>
      </w:r>
      <w:r w:rsidRPr="00BD0BB8">
        <w:t xml:space="preserve"> the Proceeds are insufficient to pay the full amounts due to the Series A Shareholders, the entire Proceeds shall be distributed amongst them </w:t>
      </w:r>
      <w:commentRangeStart w:id="290"/>
      <w:r w:rsidRPr="00BD0BB8">
        <w:t>pro-rata to their respective entitlements.</w:t>
      </w:r>
      <w:commentRangeEnd w:id="290"/>
      <w:r w:rsidR="004B0C00" w:rsidRPr="00BD0BB8">
        <w:rPr>
          <w:rStyle w:val="CommentReference"/>
          <w:sz w:val="22"/>
          <w:szCs w:val="22"/>
        </w:rPr>
        <w:commentReference w:id="290"/>
      </w:r>
    </w:p>
    <w:p w14:paraId="60A4EFC6" w14:textId="0DB5DC2F" w:rsidR="00A401ED" w:rsidRPr="00BD0BB8" w:rsidRDefault="00A401ED" w:rsidP="006A005A">
      <w:pPr>
        <w:pStyle w:val="DA2SecondLevel"/>
        <w:keepNext w:val="0"/>
        <w:widowControl w:val="0"/>
        <w:jc w:val="both"/>
      </w:pPr>
      <w:r w:rsidRPr="00BD0BB8">
        <w:rPr>
          <w:i/>
        </w:rPr>
        <w:t>[for Non-Participating Preference]</w:t>
      </w:r>
      <w:r w:rsidR="00AD5D04" w:rsidRPr="00BD0BB8">
        <w:rPr>
          <w:i/>
        </w:rPr>
        <w:t xml:space="preserve"> </w:t>
      </w:r>
      <w:r w:rsidRPr="00BD0BB8">
        <w:rPr>
          <w:b/>
        </w:rPr>
        <w:t xml:space="preserve">Remainder to Ordinary Shareholders: </w:t>
      </w:r>
      <w:r w:rsidRPr="00BD0BB8">
        <w:t>After the</w:t>
      </w:r>
      <w:r w:rsidRPr="00BD0BB8">
        <w:rPr>
          <w:b/>
        </w:rPr>
        <w:t xml:space="preserve"> </w:t>
      </w:r>
      <w:r w:rsidRPr="00BD0BB8">
        <w:t>Series A Share Liquidity Preference been paid in full, the remaining Proceeds shall be distributed pro-rata amongst the holders of Ordinary Shares.</w:t>
      </w:r>
    </w:p>
    <w:p w14:paraId="3A951339" w14:textId="14CCA8D4" w:rsidR="00A401ED" w:rsidRPr="00BD0BB8" w:rsidRDefault="00A5586B" w:rsidP="006A005A">
      <w:pPr>
        <w:pStyle w:val="DA2SecondLevel"/>
        <w:keepNext w:val="0"/>
        <w:widowControl w:val="0"/>
        <w:jc w:val="both"/>
        <w:rPr>
          <w:snapToGrid w:val="0"/>
        </w:rPr>
      </w:pPr>
      <w:r w:rsidRPr="00BD0BB8">
        <w:rPr>
          <w:b/>
        </w:rPr>
        <w:t>Valuation of Non-Cash Proceeds</w:t>
      </w:r>
      <w:r w:rsidR="007D61F4" w:rsidRPr="00BD0BB8">
        <w:rPr>
          <w:snapToGrid w:val="0"/>
        </w:rPr>
        <w:t xml:space="preserve">: </w:t>
      </w:r>
      <w:bookmarkStart w:id="291" w:name="_Hlk208398761"/>
      <w:r w:rsidR="00A401ED" w:rsidRPr="00BD0BB8">
        <w:rPr>
          <w:snapToGrid w:val="0"/>
        </w:rPr>
        <w:t xml:space="preserve">If any Proceeds are paid in a form other than cash, their value shall be the </w:t>
      </w:r>
      <w:r w:rsidR="00A401ED" w:rsidRPr="00BA2908">
        <w:rPr>
          <w:snapToGrid w:val="0"/>
        </w:rPr>
        <w:t>fair value</w:t>
      </w:r>
      <w:r w:rsidR="00A401ED" w:rsidRPr="00BD0BB8">
        <w:rPr>
          <w:snapToGrid w:val="0"/>
        </w:rPr>
        <w:t xml:space="preserve"> as determined in good faith by the Board, including at least one director appointed by the Series A Shareholders. The definitive transaction agreements for the Liquidity Event may, however, stipulate a specific valuation method, which shall take precedence</w:t>
      </w:r>
      <w:bookmarkEnd w:id="291"/>
      <w:r w:rsidR="00A401ED" w:rsidRPr="00BD0BB8">
        <w:rPr>
          <w:snapToGrid w:val="0"/>
        </w:rPr>
        <w:t>.</w:t>
      </w:r>
    </w:p>
    <w:p w14:paraId="700AC175" w14:textId="7A6D1490" w:rsidR="00A5586B" w:rsidRPr="00BD0BB8" w:rsidRDefault="009E4386" w:rsidP="006A005A">
      <w:pPr>
        <w:pStyle w:val="Heading3"/>
        <w:keepNext w:val="0"/>
        <w:keepLines w:val="0"/>
        <w:widowControl w:val="0"/>
        <w:numPr>
          <w:ilvl w:val="0"/>
          <w:numId w:val="0"/>
        </w:numPr>
        <w:ind w:left="2268"/>
        <w:rPr>
          <w:i/>
          <w:iCs/>
        </w:rPr>
      </w:pPr>
      <w:bookmarkStart w:id="292" w:name="_Ref362987053"/>
      <w:r w:rsidRPr="00BD0BB8">
        <w:t>[</w:t>
      </w:r>
      <w:r w:rsidR="00A5586B" w:rsidRPr="00BD0BB8">
        <w:rPr>
          <w:i/>
          <w:iCs/>
        </w:rPr>
        <w:t>Alternative language</w:t>
      </w:r>
      <w:r w:rsidRPr="00BD0BB8">
        <w:rPr>
          <w:i/>
          <w:iCs/>
        </w:rPr>
        <w:t xml:space="preserve"> for valuing non-cash proceeds</w:t>
      </w:r>
    </w:p>
    <w:p w14:paraId="582F11E0" w14:textId="13B3136C" w:rsidR="009E4386" w:rsidRPr="00BD0BB8" w:rsidRDefault="009E4386" w:rsidP="006A005A">
      <w:pPr>
        <w:pStyle w:val="Heading2"/>
        <w:keepNext w:val="0"/>
        <w:widowControl w:val="0"/>
        <w:numPr>
          <w:ilvl w:val="1"/>
          <w:numId w:val="146"/>
        </w:numPr>
        <w:jc w:val="both"/>
        <w:rPr>
          <w:i/>
          <w:szCs w:val="22"/>
        </w:rPr>
      </w:pPr>
      <w:r w:rsidRPr="00BD0BB8">
        <w:rPr>
          <w:i/>
          <w:szCs w:val="22"/>
        </w:rPr>
        <w:t xml:space="preserve">If any Proceeds are paid in a form other than cash, their value shall be calculated as follows: </w:t>
      </w:r>
    </w:p>
    <w:p w14:paraId="367C2B41" w14:textId="7E9FEC09" w:rsidR="00076D92" w:rsidRPr="00BD0BB8" w:rsidRDefault="00076D92" w:rsidP="006A005A">
      <w:pPr>
        <w:pStyle w:val="Heading3"/>
        <w:keepNext w:val="0"/>
        <w:keepLines w:val="0"/>
        <w:widowControl w:val="0"/>
        <w:rPr>
          <w:i/>
          <w:iCs/>
        </w:rPr>
      </w:pPr>
      <w:bookmarkStart w:id="293" w:name="_Ref209005175"/>
      <w:r w:rsidRPr="00BD0BB8">
        <w:rPr>
          <w:i/>
          <w:iCs/>
        </w:rPr>
        <w:t xml:space="preserve">in the case of securities </w:t>
      </w:r>
      <w:r w:rsidR="009E4698" w:rsidRPr="00BD0BB8">
        <w:rPr>
          <w:i/>
          <w:iCs/>
        </w:rPr>
        <w:t>held as capital assets</w:t>
      </w:r>
      <w:r w:rsidRPr="00BD0BB8">
        <w:rPr>
          <w:i/>
          <w:iCs/>
        </w:rPr>
        <w:t xml:space="preserve"> or </w:t>
      </w:r>
      <w:r w:rsidR="009E4698" w:rsidRPr="00BD0BB8">
        <w:rPr>
          <w:i/>
          <w:iCs/>
        </w:rPr>
        <w:t xml:space="preserve">securities with </w:t>
      </w:r>
      <w:r w:rsidRPr="00BD0BB8">
        <w:rPr>
          <w:i/>
          <w:iCs/>
        </w:rPr>
        <w:t>other similar restrictions on free tradability</w:t>
      </w:r>
      <w:bookmarkEnd w:id="292"/>
      <w:r w:rsidRPr="00BD0BB8">
        <w:rPr>
          <w:i/>
          <w:iCs/>
        </w:rPr>
        <w:t>:</w:t>
      </w:r>
      <w:bookmarkEnd w:id="293"/>
    </w:p>
    <w:p w14:paraId="549432DB" w14:textId="77777777" w:rsidR="00076D92" w:rsidRPr="00BD0BB8" w:rsidRDefault="00076D92" w:rsidP="006A005A">
      <w:pPr>
        <w:pStyle w:val="DA4ThirdLevelNumbering"/>
        <w:rPr>
          <w:rFonts w:cs="Arial"/>
          <w:i/>
          <w:iCs/>
          <w:szCs w:val="22"/>
        </w:rPr>
      </w:pPr>
      <w:r w:rsidRPr="00BD0BB8">
        <w:rPr>
          <w:rFonts w:cs="Arial"/>
          <w:i/>
          <w:iCs/>
          <w:szCs w:val="22"/>
        </w:rPr>
        <w:t xml:space="preserve">if traded on a securities exchange, the value shall be deemed to </w:t>
      </w:r>
      <w:r w:rsidRPr="00BD0BB8">
        <w:rPr>
          <w:rFonts w:cs="Arial"/>
          <w:i/>
          <w:iCs/>
          <w:szCs w:val="22"/>
        </w:rPr>
        <w:lastRenderedPageBreak/>
        <w:t xml:space="preserve">be the average of the closing prices of the securities over the ten (10) day period ending three (3) days prior to the closing of the </w:t>
      </w:r>
      <w:r w:rsidR="00421BEC" w:rsidRPr="00BD0BB8">
        <w:rPr>
          <w:rFonts w:cs="Arial"/>
          <w:i/>
          <w:iCs/>
          <w:szCs w:val="22"/>
        </w:rPr>
        <w:t>Liquidity Event</w:t>
      </w:r>
      <w:r w:rsidRPr="00BD0BB8">
        <w:rPr>
          <w:rFonts w:cs="Arial"/>
          <w:i/>
          <w:iCs/>
          <w:szCs w:val="22"/>
        </w:rPr>
        <w:t>;</w:t>
      </w:r>
    </w:p>
    <w:p w14:paraId="546FD805" w14:textId="77777777" w:rsidR="00076D92" w:rsidRPr="00BD0BB8" w:rsidRDefault="00076D92" w:rsidP="006A005A">
      <w:pPr>
        <w:pStyle w:val="DA4ThirdLevelNumbering"/>
        <w:rPr>
          <w:rFonts w:cs="Arial"/>
          <w:i/>
          <w:iCs/>
          <w:szCs w:val="22"/>
        </w:rPr>
      </w:pPr>
      <w:r w:rsidRPr="00BD0BB8">
        <w:rPr>
          <w:rFonts w:cs="Arial"/>
          <w:i/>
          <w:iCs/>
          <w:szCs w:val="22"/>
        </w:rPr>
        <w:t xml:space="preserve">if actively traded over-the-counter, the value shall be deemed to be the average of (i) the last </w:t>
      </w:r>
      <w:r w:rsidR="009E4698" w:rsidRPr="00BD0BB8">
        <w:rPr>
          <w:rFonts w:cs="Arial"/>
          <w:i/>
          <w:iCs/>
          <w:szCs w:val="22"/>
        </w:rPr>
        <w:t xml:space="preserve">bona fida </w:t>
      </w:r>
      <w:r w:rsidRPr="00BD0BB8">
        <w:rPr>
          <w:rFonts w:cs="Arial"/>
          <w:i/>
          <w:iCs/>
          <w:szCs w:val="22"/>
        </w:rPr>
        <w:t xml:space="preserve">bid and ask prices or (ii) the closing </w:t>
      </w:r>
      <w:r w:rsidR="009E4698" w:rsidRPr="00BD0BB8">
        <w:rPr>
          <w:rFonts w:cs="Arial"/>
          <w:i/>
          <w:iCs/>
          <w:szCs w:val="22"/>
        </w:rPr>
        <w:t xml:space="preserve">bona fida </w:t>
      </w:r>
      <w:r w:rsidRPr="00BD0BB8">
        <w:rPr>
          <w:rFonts w:cs="Arial"/>
          <w:i/>
          <w:iCs/>
          <w:szCs w:val="22"/>
        </w:rPr>
        <w:t xml:space="preserve">sale prices (whichever is applicable) over the thirty (30) day period ending three (3) days prior to the closing of the </w:t>
      </w:r>
      <w:r w:rsidR="00421BEC" w:rsidRPr="00BD0BB8">
        <w:rPr>
          <w:rFonts w:cs="Arial"/>
          <w:i/>
          <w:iCs/>
          <w:szCs w:val="22"/>
        </w:rPr>
        <w:t>Liquidity Event</w:t>
      </w:r>
      <w:r w:rsidRPr="00BD0BB8">
        <w:rPr>
          <w:rFonts w:cs="Arial"/>
          <w:i/>
          <w:iCs/>
          <w:szCs w:val="22"/>
        </w:rPr>
        <w:t>; and</w:t>
      </w:r>
    </w:p>
    <w:p w14:paraId="61BF1733" w14:textId="05C683B2" w:rsidR="00076D92" w:rsidRPr="00BD0BB8" w:rsidRDefault="00076D92" w:rsidP="006A005A">
      <w:pPr>
        <w:pStyle w:val="DA4ThirdLevelNumbering"/>
        <w:rPr>
          <w:rFonts w:cs="Arial"/>
          <w:i/>
          <w:iCs/>
          <w:szCs w:val="22"/>
        </w:rPr>
      </w:pPr>
      <w:r w:rsidRPr="00BD0BB8">
        <w:rPr>
          <w:rFonts w:cs="Arial"/>
          <w:i/>
          <w:iCs/>
          <w:szCs w:val="22"/>
        </w:rPr>
        <w:t xml:space="preserve">if there is no active public market, the value shall be the </w:t>
      </w:r>
      <w:r w:rsidR="00AD5D04" w:rsidRPr="00BD0BB8">
        <w:rPr>
          <w:rFonts w:cs="Arial"/>
          <w:i/>
          <w:iCs/>
          <w:szCs w:val="22"/>
        </w:rPr>
        <w:t>fair market value</w:t>
      </w:r>
      <w:r w:rsidRPr="00BD0BB8">
        <w:rPr>
          <w:rFonts w:cs="Arial"/>
          <w:i/>
          <w:iCs/>
          <w:szCs w:val="22"/>
        </w:rPr>
        <w:t xml:space="preserve"> thereof, as determined in good faith by the board, including one of the directors elected by the Holders of </w:t>
      </w:r>
      <w:r w:rsidR="00DE6F71" w:rsidRPr="00BD0BB8">
        <w:rPr>
          <w:rFonts w:cs="Arial"/>
          <w:i/>
          <w:iCs/>
          <w:szCs w:val="22"/>
        </w:rPr>
        <w:t>Series A Share</w:t>
      </w:r>
      <w:r w:rsidRPr="00BD0BB8">
        <w:rPr>
          <w:rFonts w:cs="Arial"/>
          <w:i/>
          <w:iCs/>
          <w:szCs w:val="22"/>
        </w:rPr>
        <w:t>;</w:t>
      </w:r>
    </w:p>
    <w:p w14:paraId="7AE9E221" w14:textId="47DB81F1" w:rsidR="00076D92" w:rsidRPr="00703C01" w:rsidRDefault="00076D92" w:rsidP="006A005A">
      <w:pPr>
        <w:pStyle w:val="DA3Third"/>
      </w:pPr>
      <w:r w:rsidRPr="00703C01">
        <w:t xml:space="preserve">in the case of securities </w:t>
      </w:r>
      <w:r w:rsidR="009E4698" w:rsidRPr="00703C01">
        <w:t>held as capital assets</w:t>
      </w:r>
      <w:r w:rsidRPr="00703C01">
        <w:t xml:space="preserve"> or </w:t>
      </w:r>
      <w:r w:rsidR="009E4698" w:rsidRPr="00703C01">
        <w:t xml:space="preserve">securities which have </w:t>
      </w:r>
      <w:r w:rsidRPr="00703C01">
        <w:t xml:space="preserve">other restrictions on free marketability (other than restrictions arising solely by virtue of a </w:t>
      </w:r>
      <w:r w:rsidR="007D61F4" w:rsidRPr="00703C01">
        <w:t>Shareholder</w:t>
      </w:r>
      <w:r w:rsidRPr="00703C01">
        <w:t xml:space="preserve">’s status as an affiliate or former affiliate), the value shall be based on an appropriate discount from the market value determined as above in paragraph </w:t>
      </w:r>
      <w:r w:rsidR="00BD0BB8" w:rsidRPr="00703C01">
        <w:fldChar w:fldCharType="begin"/>
      </w:r>
      <w:r w:rsidR="00BD0BB8" w:rsidRPr="00703C01">
        <w:instrText xml:space="preserve"> REF _Ref209005175 \r \h </w:instrText>
      </w:r>
      <w:r w:rsidR="006A005A">
        <w:instrText xml:space="preserve"> \* MERGEFORMAT </w:instrText>
      </w:r>
      <w:r w:rsidR="00BD0BB8" w:rsidRPr="00703C01">
        <w:fldChar w:fldCharType="separate"/>
      </w:r>
      <w:r w:rsidR="00633773">
        <w:t>5.4.1</w:t>
      </w:r>
      <w:r w:rsidR="00BD0BB8" w:rsidRPr="00703C01">
        <w:fldChar w:fldCharType="end"/>
      </w:r>
      <w:r w:rsidRPr="00703C01">
        <w:t xml:space="preserve"> to reflect the approximate </w:t>
      </w:r>
      <w:r w:rsidR="00AD5D04" w:rsidRPr="00703C01">
        <w:t>fair market value</w:t>
      </w:r>
      <w:r w:rsidRPr="00703C01">
        <w:t xml:space="preserve"> thereof, as determined in good faith by the board, including one of the directors elected by the Holders of </w:t>
      </w:r>
      <w:r w:rsidR="00DE6F71" w:rsidRPr="00BD0BB8">
        <w:t>Series A Share</w:t>
      </w:r>
      <w:r w:rsidRPr="00703C01">
        <w:t>;</w:t>
      </w:r>
    </w:p>
    <w:p w14:paraId="79950DB0" w14:textId="547324BD" w:rsidR="00076D92" w:rsidRPr="00703C01" w:rsidRDefault="00076D92" w:rsidP="006A005A">
      <w:pPr>
        <w:pStyle w:val="DA3Third"/>
      </w:pPr>
      <w:r w:rsidRPr="00703C01">
        <w:t xml:space="preserve">in the case of any other property, the value shall be equal to the property’s </w:t>
      </w:r>
      <w:r w:rsidR="00893E8D" w:rsidRPr="00703C01">
        <w:t>f</w:t>
      </w:r>
      <w:r w:rsidRPr="00703C01">
        <w:t xml:space="preserve">air </w:t>
      </w:r>
      <w:r w:rsidR="00893E8D" w:rsidRPr="00703C01">
        <w:t>m</w:t>
      </w:r>
      <w:r w:rsidRPr="00703C01">
        <w:t xml:space="preserve">arket </w:t>
      </w:r>
      <w:r w:rsidR="00893E8D" w:rsidRPr="00703C01">
        <w:t>v</w:t>
      </w:r>
      <w:r w:rsidRPr="00703C01">
        <w:t xml:space="preserve">alue, as determined in good faith by the board, including one of the directors elected by the Holders of </w:t>
      </w:r>
      <w:r w:rsidR="00DE6F71" w:rsidRPr="00BD0BB8">
        <w:t>Series A</w:t>
      </w:r>
      <w:r w:rsidR="00DE6F71" w:rsidRPr="00703C01">
        <w:t xml:space="preserve"> Share</w:t>
      </w:r>
      <w:r w:rsidR="006314B6" w:rsidRPr="00703C01">
        <w:t>s</w:t>
      </w:r>
      <w:r w:rsidR="002A7E3B">
        <w:t>;</w:t>
      </w:r>
    </w:p>
    <w:p w14:paraId="663B02F6" w14:textId="77777777" w:rsidR="00076D92" w:rsidRPr="00703C01" w:rsidRDefault="00076D92" w:rsidP="006A005A">
      <w:pPr>
        <w:pStyle w:val="DA3Third"/>
      </w:pPr>
      <w:bookmarkStart w:id="294" w:name="_Hlk207895920"/>
      <w:r w:rsidRPr="00703C01">
        <w:t xml:space="preserve">the foregoing methods for valuing non-cash consideration to be distributed in connection with a </w:t>
      </w:r>
      <w:r w:rsidR="00421BEC" w:rsidRPr="00703C01">
        <w:t>Liquidity Event</w:t>
      </w:r>
      <w:r w:rsidRPr="00703C01">
        <w:t xml:space="preserve"> may be superseded by any determination of such value set forth in the definitive agreements governing such </w:t>
      </w:r>
      <w:r w:rsidR="00421BEC" w:rsidRPr="00703C01">
        <w:t>Liquidity Event</w:t>
      </w:r>
      <w:r w:rsidRPr="00703C01">
        <w:t>.</w:t>
      </w:r>
    </w:p>
    <w:p w14:paraId="3EAD2E82" w14:textId="77777777" w:rsidR="00AD1F75" w:rsidRPr="00BD0BB8" w:rsidRDefault="00AD1F75" w:rsidP="006A005A">
      <w:pPr>
        <w:spacing w:line="240" w:lineRule="auto"/>
        <w:rPr>
          <w:rFonts w:cs="Arial"/>
          <w:b/>
          <w:bCs/>
          <w:iCs/>
          <w:snapToGrid w:val="0"/>
          <w:color w:val="000000"/>
        </w:rPr>
      </w:pPr>
      <w:bookmarkStart w:id="295" w:name="_Ref80789538"/>
      <w:bookmarkEnd w:id="294"/>
      <w:r w:rsidRPr="00BD0BB8">
        <w:rPr>
          <w:rFonts w:cs="Arial"/>
          <w:b/>
          <w:snapToGrid w:val="0"/>
        </w:rPr>
        <w:br w:type="page"/>
      </w:r>
    </w:p>
    <w:p w14:paraId="73B693E8" w14:textId="233EE392" w:rsidR="00A5586B" w:rsidRPr="00BD0BB8" w:rsidRDefault="00A5586B" w:rsidP="006A005A">
      <w:pPr>
        <w:pStyle w:val="DA2SecondLevel"/>
        <w:keepNext w:val="0"/>
        <w:widowControl w:val="0"/>
        <w:jc w:val="both"/>
        <w:rPr>
          <w:snapToGrid w:val="0"/>
        </w:rPr>
      </w:pPr>
      <w:r w:rsidRPr="00BD0BB8">
        <w:rPr>
          <w:b/>
          <w:snapToGrid w:val="0"/>
        </w:rPr>
        <w:lastRenderedPageBreak/>
        <w:t xml:space="preserve">Allocation of Contingent Proceeds: </w:t>
      </w:r>
      <w:r w:rsidRPr="00BD0BB8">
        <w:rPr>
          <w:snapToGrid w:val="0"/>
        </w:rPr>
        <w:t>If any portion of the Proceeds is subject to contingency (such as an escrow, holdback, or earn-out), the distribution waterfall shall be applied as follows</w:t>
      </w:r>
      <w:r w:rsidR="00AE1362" w:rsidRPr="00BD0BB8">
        <w:rPr>
          <w:rStyle w:val="FootnoteReference"/>
          <w:snapToGrid w:val="0"/>
          <w:color w:val="auto"/>
        </w:rPr>
        <w:footnoteReference w:id="135"/>
      </w:r>
      <w:r w:rsidRPr="00BD0BB8">
        <w:rPr>
          <w:snapToGrid w:val="0"/>
        </w:rPr>
        <w:t>:</w:t>
      </w:r>
    </w:p>
    <w:p w14:paraId="3E5526D7" w14:textId="51EE36B2" w:rsidR="00A5586B" w:rsidRPr="00BD0BB8" w:rsidRDefault="00AE1362" w:rsidP="006A005A">
      <w:pPr>
        <w:pStyle w:val="DA3Third"/>
        <w:rPr>
          <w:snapToGrid w:val="0"/>
        </w:rPr>
      </w:pPr>
      <w:r w:rsidRPr="00BD0BB8">
        <w:rPr>
          <w:snapToGrid w:val="0"/>
        </w:rPr>
        <w:t>t</w:t>
      </w:r>
      <w:r w:rsidR="00A5586B" w:rsidRPr="00BD0BB8">
        <w:rPr>
          <w:snapToGrid w:val="0"/>
        </w:rPr>
        <w:t>he initial, non-contingent consideration shall be distributed first, as if it were the only consideration</w:t>
      </w:r>
      <w:r w:rsidRPr="00BD0BB8">
        <w:rPr>
          <w:snapToGrid w:val="0"/>
        </w:rPr>
        <w:t>; and</w:t>
      </w:r>
    </w:p>
    <w:p w14:paraId="63BFCDCF" w14:textId="553D1864" w:rsidR="00A5586B" w:rsidRPr="00BD0BB8" w:rsidRDefault="00AE1362" w:rsidP="006A005A">
      <w:pPr>
        <w:pStyle w:val="DA3Third"/>
        <w:rPr>
          <w:snapToGrid w:val="0"/>
        </w:rPr>
      </w:pPr>
      <w:r w:rsidRPr="00BD0BB8">
        <w:rPr>
          <w:snapToGrid w:val="0"/>
        </w:rPr>
        <w:t>a</w:t>
      </w:r>
      <w:r w:rsidR="00A5586B" w:rsidRPr="00BD0BB8">
        <w:rPr>
          <w:snapToGrid w:val="0"/>
        </w:rPr>
        <w:t>ny subsequent consideration shall be distributed upon receipt, after taking into account all prior distributions to ensure the aggregate payments align with the liquidation preference waterfall.</w:t>
      </w:r>
    </w:p>
    <w:p w14:paraId="17B8A834" w14:textId="77777777" w:rsidR="00252530" w:rsidRPr="00BD0BB8" w:rsidRDefault="00252530" w:rsidP="006A005A">
      <w:pPr>
        <w:widowControl w:val="0"/>
        <w:spacing w:line="240" w:lineRule="auto"/>
        <w:rPr>
          <w:rFonts w:cs="Arial"/>
          <w:b/>
          <w:bCs/>
          <w:caps/>
          <w:color w:val="000000"/>
        </w:rPr>
      </w:pPr>
      <w:r w:rsidRPr="00BD0BB8">
        <w:rPr>
          <w:rFonts w:cs="Arial"/>
        </w:rPr>
        <w:br w:type="page"/>
      </w:r>
    </w:p>
    <w:p w14:paraId="00ED721C" w14:textId="28AD3435" w:rsidR="005310DA" w:rsidRPr="00BD0BB8" w:rsidRDefault="00F45DBC" w:rsidP="006A005A">
      <w:pPr>
        <w:pStyle w:val="DA1FirstLevelHeading"/>
        <w:keepNext w:val="0"/>
        <w:widowControl w:val="0"/>
        <w:jc w:val="both"/>
      </w:pPr>
      <w:bookmarkStart w:id="296" w:name="_Ref209005112"/>
      <w:r w:rsidRPr="00BD0BB8">
        <w:lastRenderedPageBreak/>
        <w:t>Optional Conversion</w:t>
      </w:r>
      <w:r w:rsidR="00076D92" w:rsidRPr="00BD0BB8">
        <w:t>.</w:t>
      </w:r>
      <w:bookmarkEnd w:id="295"/>
      <w:bookmarkEnd w:id="296"/>
      <w:r w:rsidR="00076D92" w:rsidRPr="00BD0BB8">
        <w:t xml:space="preserve"> </w:t>
      </w:r>
    </w:p>
    <w:p w14:paraId="303F4E60" w14:textId="605559C0" w:rsidR="00076D92" w:rsidRPr="00BD0BB8" w:rsidRDefault="00076D92" w:rsidP="006A005A">
      <w:pPr>
        <w:pStyle w:val="DA0"/>
        <w:widowControl w:val="0"/>
        <w:ind w:left="709"/>
        <w:rPr>
          <w:bCs/>
          <w:iCs/>
          <w:color w:val="000000"/>
        </w:rPr>
      </w:pPr>
      <w:r w:rsidRPr="00BD0BB8">
        <w:rPr>
          <w:bCs/>
          <w:iCs/>
          <w:color w:val="000000"/>
        </w:rPr>
        <w:t xml:space="preserve">Each </w:t>
      </w:r>
      <w:r w:rsidR="00DE6F71" w:rsidRPr="00BD0BB8">
        <w:rPr>
          <w:bCs/>
          <w:iCs/>
          <w:color w:val="000000"/>
        </w:rPr>
        <w:t>Series A</w:t>
      </w:r>
      <w:r w:rsidRPr="00BD0BB8">
        <w:rPr>
          <w:bCs/>
          <w:iCs/>
          <w:color w:val="000000"/>
        </w:rPr>
        <w:t xml:space="preserve"> Share shall be convertible, </w:t>
      </w:r>
      <w:r w:rsidR="00F45DBC" w:rsidRPr="00BD0BB8">
        <w:rPr>
          <w:bCs/>
          <w:iCs/>
          <w:color w:val="000000"/>
        </w:rPr>
        <w:t xml:space="preserve">by notice in writing from </w:t>
      </w:r>
      <w:r w:rsidRPr="00BD0BB8">
        <w:rPr>
          <w:bCs/>
          <w:iCs/>
          <w:color w:val="000000"/>
        </w:rPr>
        <w:t xml:space="preserve">the Holder </w:t>
      </w:r>
      <w:r w:rsidR="00F45DBC" w:rsidRPr="00BD0BB8">
        <w:rPr>
          <w:bCs/>
          <w:iCs/>
          <w:color w:val="000000"/>
        </w:rPr>
        <w:t xml:space="preserve">to </w:t>
      </w:r>
      <w:r w:rsidRPr="00BD0BB8">
        <w:rPr>
          <w:bCs/>
          <w:iCs/>
          <w:color w:val="000000"/>
        </w:rPr>
        <w:t xml:space="preserve">the Company, into a number of fully paid Ordinary Shares </w:t>
      </w:r>
      <w:bookmarkStart w:id="297" w:name="_Hlk208916471"/>
      <w:r w:rsidR="007D15C5" w:rsidRPr="00BD0BB8">
        <w:rPr>
          <w:bCs/>
          <w:iCs/>
          <w:color w:val="000000"/>
        </w:rPr>
        <w:t>equal to the Conversion Ratio</w:t>
      </w:r>
      <w:bookmarkEnd w:id="297"/>
      <w:r w:rsidR="007D15C5" w:rsidRPr="00BD0BB8">
        <w:rPr>
          <w:bCs/>
          <w:iCs/>
          <w:color w:val="000000"/>
        </w:rPr>
        <w:t xml:space="preserve">. </w:t>
      </w:r>
    </w:p>
    <w:p w14:paraId="07AE872E" w14:textId="77777777" w:rsidR="005310DA" w:rsidRPr="00BD0BB8" w:rsidRDefault="00076D92" w:rsidP="006A005A">
      <w:pPr>
        <w:pStyle w:val="DA1FirstLevelHeading"/>
        <w:keepNext w:val="0"/>
        <w:widowControl w:val="0"/>
        <w:jc w:val="both"/>
      </w:pPr>
      <w:bookmarkStart w:id="298" w:name="_Ref80777203"/>
      <w:bookmarkStart w:id="299" w:name="_Ref364092461"/>
      <w:r w:rsidRPr="00BD0BB8">
        <w:t>Automatic Conversion.</w:t>
      </w:r>
      <w:bookmarkEnd w:id="298"/>
      <w:r w:rsidRPr="00BD0BB8">
        <w:t xml:space="preserve"> </w:t>
      </w:r>
      <w:r w:rsidR="007D61F4" w:rsidRPr="00BD0BB8">
        <w:t xml:space="preserve"> </w:t>
      </w:r>
    </w:p>
    <w:p w14:paraId="4D84A792" w14:textId="6CF8C9B2" w:rsidR="00076D92" w:rsidRPr="00BD0BB8" w:rsidRDefault="00076D92" w:rsidP="006A005A">
      <w:pPr>
        <w:pStyle w:val="DA0"/>
        <w:widowControl w:val="0"/>
        <w:ind w:left="709"/>
      </w:pPr>
      <w:r w:rsidRPr="00BD0BB8">
        <w:rPr>
          <w:bCs/>
          <w:iCs/>
          <w:color w:val="000000"/>
        </w:rPr>
        <w:t xml:space="preserve">Each </w:t>
      </w:r>
      <w:r w:rsidR="00DE6F71" w:rsidRPr="00BD0BB8">
        <w:rPr>
          <w:bCs/>
          <w:iCs/>
          <w:color w:val="000000"/>
        </w:rPr>
        <w:t>Series A Share</w:t>
      </w:r>
      <w:r w:rsidR="007F1287" w:rsidRPr="00BD0BB8">
        <w:rPr>
          <w:bCs/>
          <w:iCs/>
          <w:color w:val="000000"/>
        </w:rPr>
        <w:t xml:space="preserve"> </w:t>
      </w:r>
      <w:r w:rsidRPr="00BD0BB8">
        <w:rPr>
          <w:bCs/>
          <w:iCs/>
          <w:color w:val="000000"/>
        </w:rPr>
        <w:t xml:space="preserve">shall automatically be converted into fully paid Ordinary Shares, at the then effective </w:t>
      </w:r>
      <w:r w:rsidR="005B1D25" w:rsidRPr="00BD0BB8">
        <w:rPr>
          <w:bCs/>
          <w:iCs/>
          <w:color w:val="000000"/>
        </w:rPr>
        <w:t>Conversion Ratio</w:t>
      </w:r>
      <w:r w:rsidRPr="00BD0BB8">
        <w:rPr>
          <w:bCs/>
          <w:iCs/>
          <w:color w:val="000000"/>
        </w:rPr>
        <w:t xml:space="preserve">, upon the earlier of (i) the vote or written consent of Holders of at least two-thirds (2/3) of the voting power represented by the then </w:t>
      </w:r>
      <w:r w:rsidR="00703C01">
        <w:rPr>
          <w:bCs/>
          <w:iCs/>
          <w:color w:val="000000"/>
        </w:rPr>
        <w:t xml:space="preserve">issued </w:t>
      </w:r>
      <w:r w:rsidR="005B1D25" w:rsidRPr="00BD0BB8">
        <w:rPr>
          <w:bCs/>
          <w:iCs/>
          <w:color w:val="000000"/>
        </w:rPr>
        <w:t xml:space="preserve">Series A Shares </w:t>
      </w:r>
      <w:r w:rsidRPr="00BD0BB8">
        <w:rPr>
          <w:bCs/>
          <w:iCs/>
          <w:color w:val="000000"/>
        </w:rPr>
        <w:t>or (ii) the closing of a Qualified IPO.</w:t>
      </w:r>
      <w:bookmarkEnd w:id="299"/>
      <w:r w:rsidR="00A44F35" w:rsidRPr="00BD0BB8">
        <w:rPr>
          <w:rStyle w:val="FootnoteReference"/>
        </w:rPr>
        <w:footnoteReference w:id="136"/>
      </w:r>
    </w:p>
    <w:p w14:paraId="6ABF9E63" w14:textId="77777777" w:rsidR="00AD1F75" w:rsidRPr="00BD0BB8" w:rsidRDefault="00AD1F75" w:rsidP="006A005A">
      <w:pPr>
        <w:spacing w:line="240" w:lineRule="auto"/>
        <w:rPr>
          <w:rFonts w:cs="Arial"/>
          <w:b/>
          <w:bCs/>
          <w:caps/>
          <w:color w:val="000000"/>
        </w:rPr>
      </w:pPr>
      <w:bookmarkStart w:id="300" w:name="_Ref80774271"/>
      <w:r w:rsidRPr="00BD0BB8">
        <w:rPr>
          <w:rFonts w:cs="Arial"/>
        </w:rPr>
        <w:br w:type="page"/>
      </w:r>
    </w:p>
    <w:p w14:paraId="751D628A" w14:textId="41DD8838" w:rsidR="005310DA" w:rsidRPr="00BD0BB8" w:rsidRDefault="00B159FF" w:rsidP="006A005A">
      <w:pPr>
        <w:pStyle w:val="DA1FirstLevelHeading"/>
        <w:keepNext w:val="0"/>
        <w:widowControl w:val="0"/>
        <w:jc w:val="both"/>
      </w:pPr>
      <w:bookmarkStart w:id="301" w:name="_Ref209356361"/>
      <w:r w:rsidRPr="00BD0BB8">
        <w:lastRenderedPageBreak/>
        <w:t>Anti-Dilution:</w:t>
      </w:r>
      <w:bookmarkEnd w:id="300"/>
      <w:bookmarkEnd w:id="301"/>
      <w:r w:rsidRPr="00BD0BB8">
        <w:t xml:space="preserve"> </w:t>
      </w:r>
    </w:p>
    <w:p w14:paraId="3E304C50" w14:textId="79041364" w:rsidR="00594AC2" w:rsidRPr="00BD0BB8" w:rsidRDefault="00AA6B09" w:rsidP="006A005A">
      <w:pPr>
        <w:pStyle w:val="Heading2"/>
        <w:keepNext w:val="0"/>
        <w:widowControl w:val="0"/>
        <w:jc w:val="both"/>
        <w:rPr>
          <w:szCs w:val="22"/>
        </w:rPr>
      </w:pPr>
      <w:bookmarkStart w:id="302" w:name="_Ref208999502"/>
      <w:r w:rsidRPr="00BD0BB8">
        <w:rPr>
          <w:szCs w:val="22"/>
        </w:rPr>
        <w:t xml:space="preserve">Where Shares are issued or Deemed Issued by the Company </w:t>
      </w:r>
      <w:r w:rsidR="00594AC2" w:rsidRPr="00BD0BB8">
        <w:rPr>
          <w:szCs w:val="22"/>
        </w:rPr>
        <w:t xml:space="preserve">for a price per share less than the Conversion Price in effect </w:t>
      </w:r>
      <w:r w:rsidRPr="00BD0BB8">
        <w:rPr>
          <w:szCs w:val="22"/>
        </w:rPr>
        <w:t xml:space="preserve">at that point in time </w:t>
      </w:r>
      <w:r w:rsidR="00594AC2" w:rsidRPr="00BD0BB8">
        <w:rPr>
          <w:szCs w:val="22"/>
        </w:rPr>
        <w:t xml:space="preserve">(a </w:t>
      </w:r>
      <w:r w:rsidR="006A005A">
        <w:rPr>
          <w:szCs w:val="22"/>
        </w:rPr>
        <w:t>"</w:t>
      </w:r>
      <w:r w:rsidR="00594AC2" w:rsidRPr="00BD0BB8">
        <w:rPr>
          <w:b/>
          <w:bCs w:val="0"/>
          <w:szCs w:val="22"/>
        </w:rPr>
        <w:t>Dilutive Issuance</w:t>
      </w:r>
      <w:r w:rsidR="006A005A">
        <w:rPr>
          <w:szCs w:val="22"/>
        </w:rPr>
        <w:t>"</w:t>
      </w:r>
      <w:r w:rsidR="00594AC2" w:rsidRPr="00BD0BB8">
        <w:rPr>
          <w:szCs w:val="22"/>
        </w:rPr>
        <w:t>), the Conversion Price will be adjusted concurrently in accordance with the formula below</w:t>
      </w:r>
      <w:r w:rsidRPr="00BD0BB8">
        <w:rPr>
          <w:rStyle w:val="FootnoteReference"/>
          <w:szCs w:val="22"/>
        </w:rPr>
        <w:footnoteReference w:id="137"/>
      </w:r>
      <w:r w:rsidR="00594AC2" w:rsidRPr="00BD0BB8">
        <w:rPr>
          <w:szCs w:val="22"/>
        </w:rPr>
        <w:t>. This does not apply to any Exempted Issuances.</w:t>
      </w:r>
      <w:bookmarkEnd w:id="302"/>
    </w:p>
    <w:p w14:paraId="3AC3AF56" w14:textId="77777777" w:rsidR="00B159FF" w:rsidRPr="00BD0BB8" w:rsidRDefault="00B159FF" w:rsidP="006A005A">
      <w:pPr>
        <w:pStyle w:val="Heading3"/>
        <w:keepNext w:val="0"/>
        <w:keepLines w:val="0"/>
        <w:widowControl w:val="0"/>
        <w:numPr>
          <w:ilvl w:val="0"/>
          <w:numId w:val="0"/>
        </w:numPr>
        <w:ind w:left="2268"/>
      </w:pPr>
      <w:r w:rsidRPr="00BD0BB8">
        <w:t>CP</w:t>
      </w:r>
      <w:r w:rsidRPr="00BD0BB8">
        <w:rPr>
          <w:vertAlign w:val="subscript"/>
        </w:rPr>
        <w:t>2</w:t>
      </w:r>
      <w:r w:rsidRPr="00BD0BB8">
        <w:t xml:space="preserve"> = CP</w:t>
      </w:r>
      <w:r w:rsidRPr="00BD0BB8">
        <w:rPr>
          <w:vertAlign w:val="subscript"/>
        </w:rPr>
        <w:t>1</w:t>
      </w:r>
      <w:r w:rsidRPr="00BD0BB8">
        <w:t xml:space="preserve"> * (A + B) / (A + C)</w:t>
      </w:r>
    </w:p>
    <w:p w14:paraId="002A44EC" w14:textId="5D457768" w:rsidR="00B159FF" w:rsidRPr="00BD0BB8" w:rsidRDefault="00B159FF" w:rsidP="006A005A">
      <w:pPr>
        <w:pStyle w:val="Heading3"/>
        <w:keepNext w:val="0"/>
        <w:keepLines w:val="0"/>
        <w:widowControl w:val="0"/>
        <w:numPr>
          <w:ilvl w:val="0"/>
          <w:numId w:val="0"/>
        </w:numPr>
        <w:ind w:left="1418"/>
      </w:pPr>
      <w:r w:rsidRPr="00BD0BB8">
        <w:t>Where</w:t>
      </w:r>
      <w:r w:rsidR="00821E9D" w:rsidRPr="00BD0BB8">
        <w:rPr>
          <w:rStyle w:val="FootnoteReference"/>
        </w:rPr>
        <w:footnoteReference w:id="138"/>
      </w:r>
      <w:r w:rsidRPr="00BD0BB8">
        <w:t>:</w:t>
      </w:r>
    </w:p>
    <w:p w14:paraId="70A2BA91" w14:textId="435F77F1" w:rsidR="00B159FF" w:rsidRPr="00BD0BB8" w:rsidRDefault="00B159FF" w:rsidP="006A005A">
      <w:pPr>
        <w:pStyle w:val="DA0"/>
        <w:widowControl w:val="0"/>
        <w:ind w:left="1418"/>
      </w:pPr>
      <w:r w:rsidRPr="00BD0BB8">
        <w:rPr>
          <w:b/>
        </w:rPr>
        <w:t>CP2</w:t>
      </w:r>
      <w:r w:rsidRPr="00BD0BB8">
        <w:t xml:space="preserve"> = </w:t>
      </w:r>
      <w:r w:rsidR="00594AC2" w:rsidRPr="00BD0BB8">
        <w:t>The new Conversion Price in effect immediately after the Dilutive Issuance.</w:t>
      </w:r>
      <w:r w:rsidRPr="00BD0BB8">
        <w:t xml:space="preserve"> </w:t>
      </w:r>
    </w:p>
    <w:p w14:paraId="2DDC4CA8" w14:textId="2221980C" w:rsidR="00B159FF" w:rsidRPr="00BD0BB8" w:rsidRDefault="00B159FF" w:rsidP="006A005A">
      <w:pPr>
        <w:pStyle w:val="DA0"/>
        <w:widowControl w:val="0"/>
        <w:ind w:left="1418"/>
      </w:pPr>
      <w:r w:rsidRPr="00BD0BB8">
        <w:rPr>
          <w:b/>
        </w:rPr>
        <w:t>CP1</w:t>
      </w:r>
      <w:r w:rsidRPr="00BD0BB8">
        <w:t xml:space="preserve"> = </w:t>
      </w:r>
      <w:r w:rsidR="00594AC2" w:rsidRPr="00BD0BB8">
        <w:t>The Conversion Price in effect immediately before the Dilutive Issuance.</w:t>
      </w:r>
    </w:p>
    <w:p w14:paraId="7775942E" w14:textId="21B1C9D1" w:rsidR="00B159FF" w:rsidRPr="00BD0BB8" w:rsidRDefault="00B159FF" w:rsidP="006A005A">
      <w:pPr>
        <w:pStyle w:val="DA0"/>
        <w:widowControl w:val="0"/>
        <w:ind w:left="1418"/>
      </w:pPr>
      <w:r w:rsidRPr="00BD0BB8">
        <w:rPr>
          <w:b/>
        </w:rPr>
        <w:t>A</w:t>
      </w:r>
      <w:r w:rsidRPr="00BD0BB8">
        <w:t xml:space="preserve"> = </w:t>
      </w:r>
      <w:r w:rsidR="00594AC2" w:rsidRPr="00BD0BB8">
        <w:t>The number of Ordinary Shares comprising the Fully-Diluted Share Capital immediately before the Dilutive Issuance</w:t>
      </w:r>
      <w:r w:rsidRPr="00BD0BB8">
        <w:t>;</w:t>
      </w:r>
    </w:p>
    <w:p w14:paraId="74C2B007" w14:textId="4F15AD72" w:rsidR="00B159FF" w:rsidRPr="00BD0BB8" w:rsidRDefault="00B159FF" w:rsidP="006A005A">
      <w:pPr>
        <w:pStyle w:val="DA0"/>
        <w:widowControl w:val="0"/>
        <w:ind w:left="1418"/>
      </w:pPr>
      <w:r w:rsidRPr="00BD0BB8">
        <w:rPr>
          <w:b/>
        </w:rPr>
        <w:t xml:space="preserve">B </w:t>
      </w:r>
      <w:r w:rsidRPr="00BD0BB8">
        <w:t xml:space="preserve">= </w:t>
      </w:r>
      <w:r w:rsidR="00AA6B09" w:rsidRPr="00BD0BB8">
        <w:t>The number of additional Ordinary Shares that would have been issued if the total consideration from the Dilutive Issuance had been received at a price per share equal to CP</w:t>
      </w:r>
      <w:r w:rsidR="00AA6B09" w:rsidRPr="00BD0BB8">
        <w:rPr>
          <w:rFonts w:ascii="Cambria Math" w:hAnsi="Cambria Math" w:cs="Cambria Math"/>
        </w:rPr>
        <w:t>₁</w:t>
      </w:r>
      <w:r w:rsidRPr="00BD0BB8">
        <w:t>;</w:t>
      </w:r>
    </w:p>
    <w:p w14:paraId="6BE7FE8B" w14:textId="68A03C84" w:rsidR="00B159FF" w:rsidRPr="00BD0BB8" w:rsidRDefault="00B159FF" w:rsidP="006A005A">
      <w:pPr>
        <w:pStyle w:val="DA0"/>
        <w:widowControl w:val="0"/>
        <w:ind w:left="1418"/>
      </w:pPr>
      <w:r w:rsidRPr="00BD0BB8">
        <w:rPr>
          <w:b/>
        </w:rPr>
        <w:t>C</w:t>
      </w:r>
      <w:r w:rsidRPr="00BD0BB8">
        <w:t xml:space="preserve"> = </w:t>
      </w:r>
      <w:r w:rsidR="00594AC2" w:rsidRPr="00BD0BB8">
        <w:t xml:space="preserve">The number of new Ordinary Shares </w:t>
      </w:r>
      <w:r w:rsidR="00AA6B09" w:rsidRPr="00BD0BB8">
        <w:t xml:space="preserve">that are </w:t>
      </w:r>
      <w:r w:rsidR="00C500EA" w:rsidRPr="00BD0BB8">
        <w:t>Deemed Issued </w:t>
      </w:r>
      <w:r w:rsidR="00594AC2" w:rsidRPr="00BD0BB8">
        <w:t>in the Dilutive Issuance.</w:t>
      </w:r>
      <w:r w:rsidR="009A63D9" w:rsidRPr="00BD0BB8">
        <w:t xml:space="preserve"> </w:t>
      </w:r>
    </w:p>
    <w:p w14:paraId="16CDF0E3" w14:textId="7626A90D" w:rsidR="00C500EA" w:rsidRPr="00BD0BB8" w:rsidRDefault="00C500EA" w:rsidP="006A005A">
      <w:pPr>
        <w:pStyle w:val="Heading2"/>
        <w:keepNext w:val="0"/>
        <w:widowControl w:val="0"/>
        <w:jc w:val="both"/>
        <w:rPr>
          <w:b/>
          <w:bCs w:val="0"/>
          <w:color w:val="auto"/>
          <w:szCs w:val="22"/>
        </w:rPr>
      </w:pPr>
      <w:r w:rsidRPr="00BD0BB8">
        <w:rPr>
          <w:b/>
          <w:bCs w:val="0"/>
          <w:color w:val="auto"/>
          <w:szCs w:val="22"/>
        </w:rPr>
        <w:t>Determination of Consideration</w:t>
      </w:r>
    </w:p>
    <w:p w14:paraId="599CBEE3" w14:textId="77777777" w:rsidR="00AA6B09" w:rsidRPr="00BD0BB8" w:rsidRDefault="00AA6B09" w:rsidP="006A005A">
      <w:pPr>
        <w:pStyle w:val="Heading2"/>
        <w:keepNext w:val="0"/>
        <w:widowControl w:val="0"/>
        <w:numPr>
          <w:ilvl w:val="0"/>
          <w:numId w:val="0"/>
        </w:numPr>
        <w:ind w:left="1418"/>
        <w:jc w:val="both"/>
        <w:rPr>
          <w:bCs w:val="0"/>
          <w:iCs w:val="0"/>
          <w:color w:val="auto"/>
          <w:szCs w:val="22"/>
          <w:lang w:eastAsia="en-ZA"/>
        </w:rPr>
      </w:pPr>
      <w:r w:rsidRPr="00BD0BB8">
        <w:rPr>
          <w:bCs w:val="0"/>
          <w:iCs w:val="0"/>
          <w:color w:val="auto"/>
          <w:szCs w:val="22"/>
          <w:lang w:eastAsia="en-ZA"/>
        </w:rPr>
        <w:t xml:space="preserve">For the purpose of the anti-dilution calculation, the consideration received by the </w:t>
      </w:r>
      <w:r w:rsidRPr="00BD0BB8">
        <w:rPr>
          <w:bCs w:val="0"/>
          <w:iCs w:val="0"/>
          <w:color w:val="auto"/>
          <w:szCs w:val="22"/>
          <w:lang w:eastAsia="en-ZA"/>
        </w:rPr>
        <w:lastRenderedPageBreak/>
        <w:t>Company for a Dilutive Issuance will be determined as follows:</w:t>
      </w:r>
    </w:p>
    <w:p w14:paraId="4913975B" w14:textId="77777777" w:rsidR="00AA6B09" w:rsidRPr="00BD0BB8" w:rsidRDefault="00AA6B09" w:rsidP="006A005A">
      <w:pPr>
        <w:pStyle w:val="DA3Third"/>
      </w:pPr>
      <w:r w:rsidRPr="00BD0BB8">
        <w:t>Cash Consideration: If the consideration is paid in cash, its value is the gross amount of cash received by the Company.</w:t>
      </w:r>
    </w:p>
    <w:p w14:paraId="6520C10C" w14:textId="77777777" w:rsidR="00AA6B09" w:rsidRPr="00BD0BB8" w:rsidRDefault="00AA6B09" w:rsidP="006A005A">
      <w:pPr>
        <w:pStyle w:val="DA3Third"/>
      </w:pPr>
      <w:r w:rsidRPr="00BD0BB8">
        <w:t>Non-Cash Consideration: If the consideration is paid in the form of non-cash assets or property, its value is the Fair Market Value of those assets or property at the time of issuance, as determined in good faith by the Board.</w:t>
      </w:r>
    </w:p>
    <w:p w14:paraId="34ABDA3F" w14:textId="77777777" w:rsidR="00AA6B09" w:rsidRPr="00BD0BB8" w:rsidRDefault="00AA6B09" w:rsidP="006A005A">
      <w:pPr>
        <w:pStyle w:val="DA3Third"/>
      </w:pPr>
      <w:r w:rsidRPr="00BD0BB8">
        <w:t>Consideration for Options and Convertible Securities: If the Dilutive Issuance involves the issuance of options or convertible securities, the total consideration is calculated as the sum of:</w:t>
      </w:r>
    </w:p>
    <w:p w14:paraId="202F537D" w14:textId="7C8E4F12" w:rsidR="00AA6B09" w:rsidRPr="00BD0BB8" w:rsidRDefault="00AA6B09" w:rsidP="006A005A">
      <w:pPr>
        <w:pStyle w:val="DA4ThirdLevelNumbering"/>
        <w:rPr>
          <w:rFonts w:cs="Arial"/>
          <w:szCs w:val="22"/>
        </w:rPr>
      </w:pPr>
      <w:r w:rsidRPr="00BD0BB8">
        <w:rPr>
          <w:rFonts w:cs="Arial"/>
          <w:szCs w:val="22"/>
        </w:rPr>
        <w:t>any consideration received by the Company for issuing the options or convertible securities themselves (valued according to clauses 1 and 2 above); plus</w:t>
      </w:r>
    </w:p>
    <w:p w14:paraId="4097CB80" w14:textId="77777777" w:rsidR="00AA6B09" w:rsidRPr="00BD0BB8" w:rsidRDefault="00AA6B09" w:rsidP="006A005A">
      <w:pPr>
        <w:pStyle w:val="DA4ThirdLevelNumbering"/>
        <w:rPr>
          <w:rFonts w:cs="Arial"/>
          <w:b/>
          <w:szCs w:val="22"/>
        </w:rPr>
      </w:pPr>
      <w:r w:rsidRPr="00BD0BB8">
        <w:rPr>
          <w:rFonts w:cs="Arial"/>
          <w:szCs w:val="22"/>
        </w:rPr>
        <w:t>the minimum additional consideration payable to the Company upon the full exercise or conversion of those securities.</w:t>
      </w:r>
    </w:p>
    <w:p w14:paraId="4E487CD8" w14:textId="7AB1215B" w:rsidR="00C500EA" w:rsidRPr="00BD0BB8" w:rsidRDefault="00C500EA" w:rsidP="006A005A">
      <w:pPr>
        <w:pStyle w:val="Heading2"/>
        <w:keepNext w:val="0"/>
        <w:widowControl w:val="0"/>
        <w:jc w:val="both"/>
        <w:rPr>
          <w:b/>
          <w:bCs w:val="0"/>
          <w:szCs w:val="22"/>
        </w:rPr>
      </w:pPr>
      <w:r w:rsidRPr="00BD0BB8">
        <w:rPr>
          <w:b/>
          <w:bCs w:val="0"/>
          <w:szCs w:val="22"/>
        </w:rPr>
        <w:t>Other Rules</w:t>
      </w:r>
    </w:p>
    <w:p w14:paraId="2DF26BE4" w14:textId="37AA840C" w:rsidR="00C500EA" w:rsidRPr="00BD0BB8" w:rsidRDefault="00C500EA" w:rsidP="006A005A">
      <w:pPr>
        <w:pStyle w:val="DA3Third"/>
      </w:pPr>
      <w:r w:rsidRPr="00BD0BB8">
        <w:t xml:space="preserve">Investor Waiver. An adjustment </w:t>
      </w:r>
      <w:r w:rsidR="00AA6B09" w:rsidRPr="00BD0BB8">
        <w:t xml:space="preserve">to the Conversion Price </w:t>
      </w:r>
      <w:r w:rsidRPr="00BD0BB8">
        <w:t xml:space="preserve">may be waived on behalf of all Preference Shareholders by the written consent of the </w:t>
      </w:r>
      <w:r w:rsidR="00944812">
        <w:t>Preference Shareholder</w:t>
      </w:r>
      <w:r w:rsidRPr="00BD0BB8">
        <w:t xml:space="preserve"> Majority.</w:t>
      </w:r>
    </w:p>
    <w:p w14:paraId="5675B0CF" w14:textId="69D37A75" w:rsidR="00C500EA" w:rsidRPr="00BD0BB8" w:rsidRDefault="00C500EA" w:rsidP="006A005A">
      <w:pPr>
        <w:pStyle w:val="DA3Third"/>
      </w:pPr>
      <w:r w:rsidRPr="00BD0BB8">
        <w:t>Multiple Closings. If a single financing round involves multiple closings within a 90-day period, the anti-dilution adjustment will be calculated as a single event upon the final closing of that round.</w:t>
      </w:r>
    </w:p>
    <w:p w14:paraId="37FE8095" w14:textId="1F5EA37C" w:rsidR="000D4BD1" w:rsidRPr="00BD0BB8" w:rsidRDefault="000D4BD1" w:rsidP="006A005A">
      <w:pPr>
        <w:pStyle w:val="DA1FirstLevelHeading"/>
        <w:keepNext w:val="0"/>
        <w:widowControl w:val="0"/>
        <w:jc w:val="both"/>
      </w:pPr>
      <w:bookmarkStart w:id="303" w:name="_Ref80774952"/>
      <w:r w:rsidRPr="00BD0BB8">
        <w:t xml:space="preserve">Other Adjustments to </w:t>
      </w:r>
      <w:r w:rsidR="00DE6F71" w:rsidRPr="00BD0BB8">
        <w:t>Series A</w:t>
      </w:r>
      <w:r w:rsidRPr="00BD0BB8">
        <w:t xml:space="preserve"> Conversion Price.</w:t>
      </w:r>
      <w:bookmarkEnd w:id="303"/>
    </w:p>
    <w:p w14:paraId="13B5D8A8" w14:textId="77777777" w:rsidR="00483B42" w:rsidRPr="00BD0BB8" w:rsidRDefault="00483B42" w:rsidP="006A005A">
      <w:pPr>
        <w:pStyle w:val="DA2SecondLevel"/>
        <w:keepNext w:val="0"/>
        <w:widowControl w:val="0"/>
        <w:ind w:left="1134"/>
        <w:jc w:val="both"/>
        <w:rPr>
          <w:b/>
          <w:bCs w:val="0"/>
        </w:rPr>
      </w:pPr>
      <w:r w:rsidRPr="00BD0BB8">
        <w:rPr>
          <w:b/>
          <w:bCs w:val="0"/>
        </w:rPr>
        <w:t>Adjustment for Share Splits and Consolidations</w:t>
      </w:r>
    </w:p>
    <w:p w14:paraId="42455EF3" w14:textId="77777777" w:rsidR="00483B42" w:rsidRPr="00BD0BB8" w:rsidRDefault="00483B42" w:rsidP="006A005A">
      <w:pPr>
        <w:pStyle w:val="DA2SecondLevel"/>
        <w:keepNext w:val="0"/>
        <w:widowControl w:val="0"/>
        <w:numPr>
          <w:ilvl w:val="0"/>
          <w:numId w:val="0"/>
        </w:numPr>
        <w:ind w:left="1134"/>
        <w:jc w:val="both"/>
      </w:pPr>
      <w:r w:rsidRPr="00BD0BB8">
        <w:t>If the Company reorganises its Ordinary Share capital, the Conversion Price will be adjusted as follows:</w:t>
      </w:r>
    </w:p>
    <w:p w14:paraId="7A5879C6" w14:textId="77777777" w:rsidR="00483B42" w:rsidRPr="00BD0BB8" w:rsidRDefault="00483B42" w:rsidP="006A005A">
      <w:pPr>
        <w:pStyle w:val="DA3Third"/>
      </w:pPr>
      <w:r w:rsidRPr="00BD0BB8">
        <w:rPr>
          <w:b/>
          <w:bCs/>
        </w:rPr>
        <w:t>Share Split:</w:t>
      </w:r>
      <w:r w:rsidRPr="00BD0BB8">
        <w:t xml:space="preserve"> If the Company splits its Ordinary Shares into a greater number of shares, the Conversion Price will be decreased in direct proportion to the increase in the number of Ordinary Shares.</w:t>
      </w:r>
    </w:p>
    <w:p w14:paraId="322F14D1" w14:textId="77777777" w:rsidR="00BD0BB8" w:rsidRDefault="00483B42" w:rsidP="006A005A">
      <w:pPr>
        <w:pStyle w:val="DA3Third"/>
      </w:pPr>
      <w:r w:rsidRPr="00BD0BB8">
        <w:rPr>
          <w:b/>
          <w:bCs/>
        </w:rPr>
        <w:t>Share Consolidation:</w:t>
      </w:r>
      <w:r w:rsidRPr="00BD0BB8">
        <w:t xml:space="preserve"> If the Company consolidates its Ordinary Shares into a smaller number of shares, the Conversion Price will be increased in direct </w:t>
      </w:r>
      <w:r w:rsidRPr="00BD0BB8">
        <w:lastRenderedPageBreak/>
        <w:t xml:space="preserve">proportion to the decrease in the number of Ordinary Shares. </w:t>
      </w:r>
    </w:p>
    <w:p w14:paraId="22BA3F4D" w14:textId="533E6294" w:rsidR="00483B42" w:rsidRPr="00BD0BB8" w:rsidRDefault="00483B42" w:rsidP="006A005A">
      <w:pPr>
        <w:pStyle w:val="DA2SecondLevel"/>
        <w:keepNext w:val="0"/>
        <w:widowControl w:val="0"/>
        <w:ind w:left="1134"/>
        <w:jc w:val="both"/>
        <w:rPr>
          <w:b/>
        </w:rPr>
      </w:pPr>
      <w:r w:rsidRPr="00BD0BB8">
        <w:rPr>
          <w:b/>
        </w:rPr>
        <w:t>Adjustment for Capitalisation Issues</w:t>
      </w:r>
    </w:p>
    <w:p w14:paraId="5E1B294A" w14:textId="5136B81A" w:rsidR="00483B42" w:rsidRPr="00BD0BB8" w:rsidRDefault="00483B42" w:rsidP="006A005A">
      <w:pPr>
        <w:pStyle w:val="DA3Third"/>
      </w:pPr>
      <w:bookmarkStart w:id="304" w:name="_Ref208999611"/>
      <w:r w:rsidRPr="00BD0BB8">
        <w:rPr>
          <w:bCs/>
        </w:rPr>
        <w:t>General Rule.</w:t>
      </w:r>
      <w:r w:rsidRPr="00BD0BB8">
        <w:t xml:space="preserve"> If the Company makes a capitalisation issue of new Ordinary Shares to its Ordinary Shareholders, the Conversion Price will be adjusted by multiplying it by the following fraction (the </w:t>
      </w:r>
      <w:r w:rsidR="006A005A">
        <w:t>"</w:t>
      </w:r>
      <w:r w:rsidRPr="00BD0BB8">
        <w:rPr>
          <w:b/>
          <w:bCs/>
        </w:rPr>
        <w:t>Adjustment Fraction</w:t>
      </w:r>
      <w:r w:rsidR="006A005A">
        <w:t>"</w:t>
      </w:r>
      <w:r w:rsidRPr="00BD0BB8">
        <w:t>):</w:t>
      </w:r>
      <w:bookmarkEnd w:id="304"/>
    </w:p>
    <w:p w14:paraId="530BDE30" w14:textId="271E9F24" w:rsidR="00483B42" w:rsidRPr="00BD0BB8" w:rsidRDefault="00483B42" w:rsidP="006A005A">
      <w:pPr>
        <w:pStyle w:val="DA4ThirdLevelNumbering"/>
        <w:rPr>
          <w:rFonts w:cs="Arial"/>
          <w:szCs w:val="22"/>
        </w:rPr>
      </w:pPr>
      <w:r w:rsidRPr="00BD0BB8">
        <w:rPr>
          <w:rFonts w:cs="Arial"/>
          <w:szCs w:val="22"/>
        </w:rPr>
        <w:t xml:space="preserve">The numerator is the total number of Ordinary Shares </w:t>
      </w:r>
      <w:r w:rsidR="00C33762">
        <w:rPr>
          <w:rFonts w:cs="Arial"/>
          <w:szCs w:val="22"/>
        </w:rPr>
        <w:t>issued</w:t>
      </w:r>
      <w:r w:rsidRPr="00BD0BB8">
        <w:rPr>
          <w:rFonts w:cs="Arial"/>
          <w:szCs w:val="22"/>
        </w:rPr>
        <w:t xml:space="preserve"> immediately before the capitalisation issue; and</w:t>
      </w:r>
    </w:p>
    <w:p w14:paraId="0957BD45" w14:textId="32D4301B" w:rsidR="00483B42" w:rsidRPr="00BD0BB8" w:rsidRDefault="00483B42" w:rsidP="006A005A">
      <w:pPr>
        <w:pStyle w:val="DA4ThirdLevelNumbering"/>
        <w:rPr>
          <w:rFonts w:cs="Arial"/>
          <w:szCs w:val="22"/>
        </w:rPr>
      </w:pPr>
      <w:r w:rsidRPr="00BD0BB8">
        <w:rPr>
          <w:rFonts w:cs="Arial"/>
          <w:szCs w:val="22"/>
        </w:rPr>
        <w:t xml:space="preserve">The denominator is the total number of Ordinary Shares </w:t>
      </w:r>
      <w:r w:rsidR="00C33762">
        <w:rPr>
          <w:rFonts w:cs="Arial"/>
          <w:szCs w:val="22"/>
        </w:rPr>
        <w:t>issued</w:t>
      </w:r>
      <w:r w:rsidRPr="00BD0BB8">
        <w:rPr>
          <w:rFonts w:cs="Arial"/>
          <w:szCs w:val="22"/>
        </w:rPr>
        <w:t xml:space="preserve"> immediately after the capitalisation issue.</w:t>
      </w:r>
    </w:p>
    <w:p w14:paraId="0604ADC7" w14:textId="77777777" w:rsidR="00483B42" w:rsidRPr="00BD0BB8" w:rsidRDefault="00483B42" w:rsidP="006A005A">
      <w:pPr>
        <w:pStyle w:val="DA3Third"/>
      </w:pPr>
      <w:r w:rsidRPr="00BD0BB8">
        <w:rPr>
          <w:bCs/>
        </w:rPr>
        <w:t>Failed Capitalisation Issue.</w:t>
      </w:r>
      <w:r w:rsidRPr="00BD0BB8">
        <w:t> If a record date is set for a capitalisation issue but the issue is not completed, the Conversion Price will be re-calculated as if the record date was never set. Any subsequent adjustment will be made only at the time of the actual issue.</w:t>
      </w:r>
    </w:p>
    <w:p w14:paraId="7C8B571F" w14:textId="77777777" w:rsidR="00483B42" w:rsidRPr="00BD0BB8" w:rsidRDefault="00483B42" w:rsidP="006A005A">
      <w:pPr>
        <w:pStyle w:val="DA3Third"/>
      </w:pPr>
      <w:r w:rsidRPr="00BD0BB8">
        <w:rPr>
          <w:bCs/>
        </w:rPr>
        <w:t>Exception for Participation.</w:t>
      </w:r>
      <w:r w:rsidRPr="00BD0BB8">
        <w:t> No adjustment will be made under this clause if the Preference Shareholders simultaneously receive a capitalisation issue on an as-converted basis.</w:t>
      </w:r>
    </w:p>
    <w:p w14:paraId="5EB65135" w14:textId="77777777" w:rsidR="00483B42" w:rsidRPr="00BD0BB8" w:rsidRDefault="00483B42" w:rsidP="006A005A">
      <w:pPr>
        <w:pStyle w:val="DA2SecondLevel"/>
        <w:keepNext w:val="0"/>
        <w:widowControl w:val="0"/>
        <w:jc w:val="both"/>
        <w:rPr>
          <w:b/>
          <w:bCs w:val="0"/>
        </w:rPr>
      </w:pPr>
      <w:r w:rsidRPr="00BD0BB8">
        <w:rPr>
          <w:b/>
          <w:bCs w:val="0"/>
        </w:rPr>
        <w:t>Distributions of Assets</w:t>
      </w:r>
    </w:p>
    <w:p w14:paraId="13564D60" w14:textId="77777777" w:rsidR="00483B42" w:rsidRPr="00BD0BB8" w:rsidRDefault="00483B42" w:rsidP="006A005A">
      <w:pPr>
        <w:pStyle w:val="DA3Third"/>
      </w:pPr>
      <w:r w:rsidRPr="00BD0BB8">
        <w:t>For any distribution of assets to Ordinary Shareholders that is not a cash dividend or a capitalisation issue of Ordinary Shares, the Preference Shareholders are entitled to participate.</w:t>
      </w:r>
    </w:p>
    <w:p w14:paraId="267A0AEB" w14:textId="0CB27C3B" w:rsidR="009A0FB9" w:rsidRPr="00BD0BB8" w:rsidRDefault="00B21FA0" w:rsidP="006A005A">
      <w:pPr>
        <w:pStyle w:val="DA3Third"/>
      </w:pPr>
      <w:r>
        <w:t>Holders of Preference Shares</w:t>
      </w:r>
      <w:r w:rsidRPr="00BD0BB8">
        <w:t xml:space="preserve"> </w:t>
      </w:r>
      <w:r w:rsidR="00483B42" w:rsidRPr="00BD0BB8">
        <w:t>will receive, simultaneously with the Ordinary Shareholders, the same assets they would have been entitled to had they converted their Preference Shares into Ordinary Shares immediately before the record date for the distribution.</w:t>
      </w:r>
    </w:p>
    <w:p w14:paraId="47EC6489" w14:textId="77777777" w:rsidR="00483B42" w:rsidRPr="00BD0BB8" w:rsidRDefault="00483B42" w:rsidP="006A005A">
      <w:pPr>
        <w:pStyle w:val="Heading2"/>
        <w:widowControl w:val="0"/>
        <w:jc w:val="both"/>
        <w:rPr>
          <w:b/>
          <w:bCs w:val="0"/>
          <w:szCs w:val="22"/>
        </w:rPr>
      </w:pPr>
      <w:r w:rsidRPr="00BD0BB8">
        <w:rPr>
          <w:b/>
          <w:bCs w:val="0"/>
          <w:szCs w:val="22"/>
        </w:rPr>
        <w:t>Reorganisation or Merger</w:t>
      </w:r>
    </w:p>
    <w:p w14:paraId="52D9BD2D" w14:textId="1A2B3C17" w:rsidR="00483B42" w:rsidRPr="00BD0BB8" w:rsidRDefault="00483B42" w:rsidP="006A005A">
      <w:pPr>
        <w:pStyle w:val="DA3Third"/>
      </w:pPr>
      <w:bookmarkStart w:id="305" w:name="_Ref209358198"/>
      <w:r w:rsidRPr="00BD0BB8">
        <w:t xml:space="preserve">Substitution of Conversion Property. If there is a reorganisation, merger, or other corporate action in which Ordinary Shares are </w:t>
      </w:r>
      <w:r w:rsidRPr="00372DDD">
        <w:t xml:space="preserve">exchanged for other securities, cash, or property (the </w:t>
      </w:r>
      <w:r w:rsidR="006A005A">
        <w:t>"</w:t>
      </w:r>
      <w:r w:rsidRPr="00372DDD">
        <w:rPr>
          <w:b/>
          <w:bCs/>
        </w:rPr>
        <w:t>New Consideration</w:t>
      </w:r>
      <w:r w:rsidR="006A005A">
        <w:t>"</w:t>
      </w:r>
      <w:r w:rsidRPr="00372DDD">
        <w:t xml:space="preserve">), but the Preference Shares remain </w:t>
      </w:r>
      <w:r w:rsidR="00C33762">
        <w:t>issued</w:t>
      </w:r>
      <w:r w:rsidRPr="00372DDD">
        <w:t>, the conversion right will be a</w:t>
      </w:r>
      <w:r w:rsidRPr="00BD0BB8">
        <w:t>djusted.</w:t>
      </w:r>
      <w:bookmarkEnd w:id="305"/>
    </w:p>
    <w:p w14:paraId="2B041751" w14:textId="138D105F" w:rsidR="00483B42" w:rsidRPr="00BD0BB8" w:rsidRDefault="00483B42" w:rsidP="006A005A">
      <w:pPr>
        <w:pStyle w:val="DA3Third"/>
      </w:pPr>
      <w:r w:rsidRPr="00BD0BB8">
        <w:rPr>
          <w:b/>
          <w:bCs/>
        </w:rPr>
        <w:t>Adjusted Right</w:t>
      </w:r>
      <w:r w:rsidRPr="00BD0BB8">
        <w:t xml:space="preserve">. From that point on, each Preference Share will no longer </w:t>
      </w:r>
      <w:r w:rsidRPr="00BD0BB8">
        <w:lastRenderedPageBreak/>
        <w:t>be convertible into Ordinary Shares, but will instead be convertible into the kind and amount of New Consideration that a</w:t>
      </w:r>
      <w:r w:rsidR="007E5EF0" w:rsidRPr="00BD0BB8">
        <w:t xml:space="preserve"> Holder</w:t>
      </w:r>
      <w:r w:rsidRPr="00BD0BB8">
        <w:t xml:space="preserve"> would have received if they had converted their Preference Shares into Ordinary Shares immediately before the transaction.</w:t>
      </w:r>
    </w:p>
    <w:p w14:paraId="6D0B1B64" w14:textId="1B184F54" w:rsidR="00483B42" w:rsidRPr="00BD0BB8" w:rsidRDefault="00483B42" w:rsidP="006A005A">
      <w:pPr>
        <w:pStyle w:val="DA3Third"/>
      </w:pPr>
      <w:bookmarkStart w:id="306" w:name="_Hlk72443005"/>
      <w:r w:rsidRPr="00BD0BB8">
        <w:rPr>
          <w:b/>
          <w:bCs/>
        </w:rPr>
        <w:t>Further Adjustments</w:t>
      </w:r>
      <w:r w:rsidRPr="00BD0BB8">
        <w:t>. The Board will make appropriate and equitable adjustments to the conversion mechanics to ensure the protections in this section (including anti-dilution adjustments) continue to apply, as far as reasonably possible, to the New Consideration.</w:t>
      </w:r>
    </w:p>
    <w:p w14:paraId="60AA0E4A" w14:textId="77777777" w:rsidR="000D4BD1" w:rsidRPr="00BD0BB8" w:rsidRDefault="00076D92" w:rsidP="006A005A">
      <w:pPr>
        <w:pStyle w:val="DA1FirstLevelHeading"/>
        <w:keepNext w:val="0"/>
        <w:widowControl w:val="0"/>
        <w:jc w:val="both"/>
      </w:pPr>
      <w:bookmarkStart w:id="307" w:name="_Ref80789977"/>
      <w:bookmarkStart w:id="308" w:name="_Hlk208917972"/>
      <w:bookmarkEnd w:id="306"/>
      <w:r w:rsidRPr="00BD0BB8">
        <w:t>Mechanics of Conversion</w:t>
      </w:r>
      <w:bookmarkEnd w:id="307"/>
      <w:r w:rsidRPr="00BD0BB8">
        <w:t xml:space="preserve"> </w:t>
      </w:r>
    </w:p>
    <w:bookmarkEnd w:id="308"/>
    <w:p w14:paraId="30A80795" w14:textId="461ACDAF" w:rsidR="00C62E1A" w:rsidRPr="00BD0BB8" w:rsidRDefault="00C62E1A" w:rsidP="006A005A">
      <w:pPr>
        <w:pStyle w:val="DA2SecondLevel"/>
        <w:jc w:val="both"/>
      </w:pPr>
      <w:r w:rsidRPr="00BD0BB8">
        <w:rPr>
          <w:b/>
          <w:bCs w:val="0"/>
        </w:rPr>
        <w:t>Optional Conversion Process</w:t>
      </w:r>
      <w:r w:rsidRPr="00BD0BB8">
        <w:t>: To convert Preference Shares into Ordinary Shares, a Holder must deliver a written conversion notice to the Company and surrender the relevant share certificate(s) (or provide a reasonably acceptable indemnity for any lost certificate).</w:t>
      </w:r>
    </w:p>
    <w:p w14:paraId="39379DEB" w14:textId="77777777" w:rsidR="00C62E1A" w:rsidRPr="00BD0BB8" w:rsidRDefault="00C62E1A" w:rsidP="006A005A">
      <w:pPr>
        <w:widowControl w:val="0"/>
        <w:spacing w:line="240" w:lineRule="auto"/>
        <w:rPr>
          <w:rFonts w:cs="Arial"/>
          <w:bCs/>
          <w:iCs/>
          <w:color w:val="000000"/>
        </w:rPr>
      </w:pPr>
    </w:p>
    <w:p w14:paraId="6A907F3E" w14:textId="28D572DD" w:rsidR="00C62E1A" w:rsidRPr="00BD0BB8" w:rsidRDefault="00C62E1A" w:rsidP="006A005A">
      <w:pPr>
        <w:pStyle w:val="DA2SecondLevel"/>
        <w:jc w:val="both"/>
        <w:rPr>
          <w:b/>
          <w:bCs w:val="0"/>
        </w:rPr>
      </w:pPr>
      <w:r w:rsidRPr="00BD0BB8">
        <w:rPr>
          <w:b/>
          <w:bCs w:val="0"/>
        </w:rPr>
        <w:t>Automatic Conversion Process:</w:t>
      </w:r>
      <w:r w:rsidRPr="00BD0BB8">
        <w:t xml:space="preserve"> Upon an automatic conversion event, the </w:t>
      </w:r>
      <w:r w:rsidR="00C33762">
        <w:t>issued</w:t>
      </w:r>
      <w:r w:rsidRPr="00BD0BB8">
        <w:t xml:space="preserve"> Preference Shares will convert automatically without any further action by the Holders, whether or not share certificates are surrendered. However, the Company is not obligated to issue certificates for the new Ordinary Shares until the Holder either surrenders the old Preference Share certificates or provides an indemnity for their loss.</w:t>
      </w:r>
    </w:p>
    <w:p w14:paraId="233AC1C5" w14:textId="77777777" w:rsidR="00C62E1A" w:rsidRPr="00BD0BB8" w:rsidRDefault="00C62E1A" w:rsidP="006A005A">
      <w:pPr>
        <w:pStyle w:val="DA2SecondLevel"/>
        <w:jc w:val="both"/>
      </w:pPr>
      <w:r w:rsidRPr="00BD0BB8">
        <w:rPr>
          <w:b/>
          <w:bCs w:val="0"/>
        </w:rPr>
        <w:t xml:space="preserve">Effective Date of Conversion: </w:t>
      </w:r>
      <w:r w:rsidRPr="00BD0BB8">
        <w:t xml:space="preserve">A conversion is deemed to be effective at the close of business on:  </w:t>
      </w:r>
    </w:p>
    <w:p w14:paraId="18A50AE0" w14:textId="77777777" w:rsidR="00C62E1A" w:rsidRPr="00BD0BB8" w:rsidRDefault="00C62E1A" w:rsidP="006A005A">
      <w:pPr>
        <w:pStyle w:val="DA3Third"/>
        <w:rPr>
          <w:bCs/>
          <w:iCs/>
          <w:color w:val="000000"/>
        </w:rPr>
      </w:pPr>
      <w:r w:rsidRPr="00BD0BB8">
        <w:t>in the case of an optional conversion, the date the Company receives the conversion notice and surrendered certificates; or</w:t>
      </w:r>
    </w:p>
    <w:p w14:paraId="63B18BA9" w14:textId="63EBE5EB" w:rsidR="00C62E1A" w:rsidRPr="00BD0BB8" w:rsidRDefault="00C62E1A" w:rsidP="006A005A">
      <w:pPr>
        <w:pStyle w:val="DA3Third"/>
      </w:pPr>
      <w:r w:rsidRPr="00BD0BB8">
        <w:t>in the case of an automatic conversion, the date on which the trigger event occurs</w:t>
      </w:r>
      <w:r w:rsidR="00AD1F75" w:rsidRPr="00BD0BB8">
        <w:t xml:space="preserve">, </w:t>
      </w:r>
    </w:p>
    <w:p w14:paraId="3239E4E0" w14:textId="33ED10DF" w:rsidR="00C62E1A" w:rsidRPr="00BD0BB8" w:rsidRDefault="00AD1F75" w:rsidP="006A005A">
      <w:pPr>
        <w:pStyle w:val="DA0"/>
        <w:keepNext/>
        <w:ind w:left="1418"/>
      </w:pPr>
      <w:r w:rsidRPr="00BD0BB8">
        <w:t>and t</w:t>
      </w:r>
      <w:r w:rsidR="00C62E1A" w:rsidRPr="00BD0BB8">
        <w:t>he person entitled to the new Ordinary Shares will be treated as the holder of record from the effective date.</w:t>
      </w:r>
    </w:p>
    <w:p w14:paraId="18FDCDC5" w14:textId="77777777" w:rsidR="00C62E1A" w:rsidRPr="00BD0BB8" w:rsidRDefault="00C62E1A" w:rsidP="006A005A">
      <w:pPr>
        <w:pStyle w:val="DA2SecondLevel"/>
        <w:keepNext w:val="0"/>
        <w:widowControl w:val="0"/>
        <w:spacing w:line="240" w:lineRule="auto"/>
        <w:jc w:val="both"/>
        <w:rPr>
          <w:b/>
          <w:bCs w:val="0"/>
        </w:rPr>
      </w:pPr>
      <w:r w:rsidRPr="00BD0BB8">
        <w:rPr>
          <w:b/>
          <w:bCs w:val="0"/>
        </w:rPr>
        <w:t xml:space="preserve">General Provisions on Conversion </w:t>
      </w:r>
    </w:p>
    <w:p w14:paraId="2380BD33" w14:textId="1FCDEA14" w:rsidR="00C62E1A" w:rsidRPr="00BD0BB8" w:rsidRDefault="00C62E1A" w:rsidP="006A005A">
      <w:pPr>
        <w:pStyle w:val="DA3Third"/>
        <w:rPr>
          <w:bCs/>
          <w:iCs/>
          <w:color w:val="000000"/>
        </w:rPr>
      </w:pPr>
      <w:r w:rsidRPr="00BD0BB8">
        <w:rPr>
          <w:b/>
          <w:bCs/>
        </w:rPr>
        <w:t>Issuance of New Shares.</w:t>
      </w:r>
      <w:r w:rsidRPr="00BD0BB8">
        <w:t xml:space="preserve"> As soon as practicable after the effective date of conversion, the Company must issue and deliver to the Holder (or their nominee) a certificate for the corresponding number of Ordinary Shares.  </w:t>
      </w:r>
    </w:p>
    <w:p w14:paraId="5769B671" w14:textId="75C7F597" w:rsidR="00C62E1A" w:rsidRPr="00BD0BB8" w:rsidRDefault="00C62E1A" w:rsidP="006A005A">
      <w:pPr>
        <w:pStyle w:val="Heading3"/>
        <w:keepNext w:val="0"/>
        <w:keepLines w:val="0"/>
        <w:widowControl w:val="0"/>
      </w:pPr>
      <w:r w:rsidRPr="00BD0BB8">
        <w:rPr>
          <w:b/>
        </w:rPr>
        <w:lastRenderedPageBreak/>
        <w:t>Reservation of Shares for Conversion.</w:t>
      </w:r>
      <w:r w:rsidRPr="00BD0BB8">
        <w:t xml:space="preserve"> The Company must, at all times, keep a sufficient number of its authorised but unissued Ordinary Shares reserved to satisfy the conversion of all </w:t>
      </w:r>
      <w:r w:rsidR="00C33762">
        <w:t>issued</w:t>
      </w:r>
      <w:r w:rsidRPr="00BD0BB8">
        <w:t xml:space="preserve"> Preference Shares. </w:t>
      </w:r>
    </w:p>
    <w:p w14:paraId="3604C1DA" w14:textId="62736074" w:rsidR="00C62E1A" w:rsidRPr="00BD0BB8" w:rsidRDefault="00C62E1A" w:rsidP="006A005A">
      <w:pPr>
        <w:pStyle w:val="DA3Third"/>
      </w:pPr>
      <w:r w:rsidRPr="00BD0BB8">
        <w:rPr>
          <w:b/>
        </w:rPr>
        <w:t>Status of Converted Shares.</w:t>
      </w:r>
      <w:r w:rsidRPr="00BD0BB8">
        <w:t xml:space="preserve"> Once converted, a Preference Share will no longer be deemed </w:t>
      </w:r>
      <w:r w:rsidR="00C33762">
        <w:t>issued</w:t>
      </w:r>
      <w:r w:rsidRPr="00BD0BB8">
        <w:t xml:space="preserve">, and all rights associated with it will immediately terminate, except for the right to receive the Ordinary Shares and any declared but unpaid dividends. </w:t>
      </w:r>
    </w:p>
    <w:p w14:paraId="1BFD7D5E" w14:textId="30777BB2" w:rsidR="00C62E1A" w:rsidRPr="00BD0BB8" w:rsidRDefault="00C62E1A" w:rsidP="006A005A">
      <w:pPr>
        <w:pStyle w:val="DA3Third"/>
        <w:rPr>
          <w:b/>
          <w:caps/>
        </w:rPr>
      </w:pPr>
      <w:r w:rsidRPr="00BD0BB8">
        <w:rPr>
          <w:b/>
        </w:rPr>
        <w:t>Fractional Shares.</w:t>
      </w:r>
      <w:r w:rsidRPr="00BD0BB8">
        <w:t xml:space="preserve"> No fractional Ordinary Shares will be issued. The Company will instead pay cash equal to the value of the fraction</w:t>
      </w:r>
      <w:r w:rsidR="00372DDD">
        <w:t xml:space="preserve"> of </w:t>
      </w:r>
      <w:r w:rsidR="00372DDD" w:rsidRPr="00BD0BB8">
        <w:t>an Ordinary Share</w:t>
      </w:r>
      <w:r w:rsidRPr="00BD0BB8">
        <w:t xml:space="preserve">, based on the Fair Market Value of </w:t>
      </w:r>
      <w:r w:rsidR="00372DDD">
        <w:t>the Company</w:t>
      </w:r>
      <w:r w:rsidRPr="00BD0BB8">
        <w:t xml:space="preserve">. For calculation purposes, all Preference Shares being converted by a Holder at one time will be aggregated.  </w:t>
      </w:r>
    </w:p>
    <w:p w14:paraId="53C88686" w14:textId="42F0691E" w:rsidR="00C16845" w:rsidRPr="00BD0BB8" w:rsidRDefault="00C62E1A" w:rsidP="006A005A">
      <w:pPr>
        <w:pStyle w:val="Heading3"/>
        <w:keepNext w:val="0"/>
        <w:keepLines w:val="0"/>
        <w:widowControl w:val="0"/>
        <w:rPr>
          <w:b/>
          <w:caps/>
        </w:rPr>
      </w:pPr>
      <w:r w:rsidRPr="00BD0BB8">
        <w:rPr>
          <w:b/>
        </w:rPr>
        <w:t>Costs of Conversion.</w:t>
      </w:r>
      <w:r w:rsidRPr="00BD0BB8">
        <w:t xml:space="preserve"> The Company will pay any Securities Transfer Tax or similar tax payable on the issuance of Ordinary Shares upon conversion. However, the Holder is responsible for any tax payable in respect of a transfer involved in issuing the Ordinary Shares in a name other than that of the Holder.</w:t>
      </w:r>
      <w:r w:rsidR="00C16845" w:rsidRPr="00BD0BB8">
        <w:br w:type="page"/>
      </w:r>
    </w:p>
    <w:p w14:paraId="347D6997" w14:textId="77777777" w:rsidR="00C16845" w:rsidRPr="00BD0BB8" w:rsidRDefault="00C16845" w:rsidP="006A005A">
      <w:pPr>
        <w:pStyle w:val="Heading2"/>
        <w:keepNext w:val="0"/>
        <w:widowControl w:val="0"/>
        <w:numPr>
          <w:ilvl w:val="0"/>
          <w:numId w:val="0"/>
        </w:numPr>
        <w:ind w:left="1418" w:hanging="709"/>
        <w:jc w:val="both"/>
        <w:rPr>
          <w:b/>
          <w:color w:val="auto"/>
          <w:szCs w:val="22"/>
        </w:rPr>
      </w:pPr>
      <w:bookmarkStart w:id="309" w:name="AnnexureB"/>
      <w:r w:rsidRPr="00BD0BB8">
        <w:rPr>
          <w:b/>
          <w:color w:val="auto"/>
          <w:szCs w:val="22"/>
        </w:rPr>
        <w:lastRenderedPageBreak/>
        <w:t xml:space="preserve">ANNEXURE </w:t>
      </w:r>
      <w:bookmarkEnd w:id="309"/>
      <w:r w:rsidRPr="00BD0BB8">
        <w:rPr>
          <w:b/>
          <w:color w:val="auto"/>
          <w:szCs w:val="22"/>
        </w:rPr>
        <w:t>B: PROTECTIVE PROVISIONS AND RESERVED MATTERS</w:t>
      </w:r>
    </w:p>
    <w:p w14:paraId="4A4889AA" w14:textId="77777777" w:rsidR="00C16845" w:rsidRPr="00BD0BB8" w:rsidRDefault="00C16845" w:rsidP="006A005A">
      <w:pPr>
        <w:pStyle w:val="Heading1"/>
        <w:keepNext w:val="0"/>
        <w:widowControl w:val="0"/>
        <w:numPr>
          <w:ilvl w:val="0"/>
          <w:numId w:val="126"/>
        </w:numPr>
        <w:jc w:val="both"/>
        <w:rPr>
          <w:rFonts w:ascii="Arial" w:hAnsi="Arial"/>
        </w:rPr>
      </w:pPr>
      <w:r w:rsidRPr="00BD0BB8">
        <w:rPr>
          <w:rFonts w:ascii="Arial" w:hAnsi="Arial"/>
        </w:rPr>
        <w:t>PART 1: SHAREHOLDER RESERVED MATTERS</w:t>
      </w:r>
    </w:p>
    <w:p w14:paraId="5BD6275B" w14:textId="2931971A" w:rsidR="00C16845" w:rsidRPr="00B53998" w:rsidRDefault="00C16845" w:rsidP="006A005A">
      <w:pPr>
        <w:pStyle w:val="Heading2"/>
        <w:keepNext w:val="0"/>
        <w:widowControl w:val="0"/>
        <w:numPr>
          <w:ilvl w:val="1"/>
          <w:numId w:val="125"/>
        </w:numPr>
        <w:jc w:val="both"/>
        <w:rPr>
          <w:color w:val="auto"/>
          <w:szCs w:val="22"/>
        </w:rPr>
      </w:pPr>
      <w:r w:rsidRPr="00BD0BB8">
        <w:rPr>
          <w:color w:val="auto"/>
          <w:szCs w:val="22"/>
        </w:rPr>
        <w:t xml:space="preserve">So long as at least [25%] of the originally issued </w:t>
      </w:r>
      <w:r w:rsidR="006314B6">
        <w:rPr>
          <w:color w:val="auto"/>
          <w:szCs w:val="22"/>
        </w:rPr>
        <w:t>Preference</w:t>
      </w:r>
      <w:r w:rsidRPr="00BD0BB8">
        <w:rPr>
          <w:color w:val="auto"/>
          <w:szCs w:val="22"/>
        </w:rPr>
        <w:t xml:space="preserve"> Shares remain </w:t>
      </w:r>
      <w:r w:rsidR="00C33762">
        <w:rPr>
          <w:color w:val="auto"/>
          <w:szCs w:val="22"/>
        </w:rPr>
        <w:t>issued</w:t>
      </w:r>
      <w:r w:rsidRPr="00BD0BB8">
        <w:rPr>
          <w:color w:val="auto"/>
          <w:szCs w:val="22"/>
        </w:rPr>
        <w:t xml:space="preserve">, the Company shall not, either directly or by amendment, merger, or otherwise, perform </w:t>
      </w:r>
      <w:r w:rsidRPr="00B53998">
        <w:rPr>
          <w:color w:val="auto"/>
          <w:szCs w:val="22"/>
        </w:rPr>
        <w:t xml:space="preserve">any of the following acts without first obtaining the prior written consent of the holders of a majority of </w:t>
      </w:r>
      <w:r w:rsidR="00944812" w:rsidRPr="00944812">
        <w:rPr>
          <w:color w:val="auto"/>
          <w:szCs w:val="22"/>
        </w:rPr>
        <w:t>[●]</w:t>
      </w:r>
      <w:r w:rsidR="00944812">
        <w:rPr>
          <w:color w:val="auto"/>
          <w:szCs w:val="22"/>
        </w:rPr>
        <w:t>% (</w:t>
      </w:r>
      <w:r w:rsidR="00944812" w:rsidRPr="00944812">
        <w:rPr>
          <w:color w:val="auto"/>
          <w:szCs w:val="22"/>
        </w:rPr>
        <w:t>[●]</w:t>
      </w:r>
      <w:r w:rsidR="00944812">
        <w:rPr>
          <w:color w:val="auto"/>
          <w:szCs w:val="22"/>
        </w:rPr>
        <w:t xml:space="preserve"> percent) of </w:t>
      </w:r>
      <w:r w:rsidRPr="00B53998">
        <w:rPr>
          <w:color w:val="auto"/>
          <w:szCs w:val="22"/>
        </w:rPr>
        <w:t xml:space="preserve">the </w:t>
      </w:r>
      <w:r w:rsidR="00C33762">
        <w:rPr>
          <w:color w:val="auto"/>
          <w:szCs w:val="22"/>
        </w:rPr>
        <w:t>issued</w:t>
      </w:r>
      <w:r w:rsidRPr="00B53998">
        <w:rPr>
          <w:color w:val="auto"/>
          <w:szCs w:val="22"/>
        </w:rPr>
        <w:t xml:space="preserve"> </w:t>
      </w:r>
      <w:r w:rsidR="006314B6">
        <w:rPr>
          <w:color w:val="auto"/>
          <w:szCs w:val="22"/>
        </w:rPr>
        <w:t>Preference</w:t>
      </w:r>
      <w:r w:rsidRPr="00B53998">
        <w:rPr>
          <w:color w:val="auto"/>
          <w:szCs w:val="22"/>
        </w:rPr>
        <w:t xml:space="preserve"> Shares, voting as a single class (the </w:t>
      </w:r>
      <w:r w:rsidR="006A005A">
        <w:rPr>
          <w:color w:val="auto"/>
          <w:szCs w:val="22"/>
        </w:rPr>
        <w:t>"</w:t>
      </w:r>
      <w:r w:rsidR="00944812">
        <w:rPr>
          <w:b/>
          <w:color w:val="auto"/>
          <w:szCs w:val="22"/>
        </w:rPr>
        <w:t>Preference Shareholder</w:t>
      </w:r>
      <w:r w:rsidRPr="00B53998">
        <w:rPr>
          <w:b/>
          <w:color w:val="auto"/>
          <w:szCs w:val="22"/>
        </w:rPr>
        <w:t xml:space="preserve"> Majority</w:t>
      </w:r>
      <w:r w:rsidR="006A005A">
        <w:rPr>
          <w:color w:val="auto"/>
          <w:szCs w:val="22"/>
        </w:rPr>
        <w:t>"</w:t>
      </w:r>
      <w:r w:rsidRPr="00B53998">
        <w:rPr>
          <w:color w:val="auto"/>
          <w:szCs w:val="22"/>
        </w:rPr>
        <w:t>):</w:t>
      </w:r>
    </w:p>
    <w:p w14:paraId="41B0BDC7" w14:textId="7283C75C" w:rsidR="00C16845" w:rsidRPr="00BD0BB8" w:rsidRDefault="00C16845" w:rsidP="006A005A">
      <w:pPr>
        <w:pStyle w:val="DA3Third"/>
      </w:pPr>
      <w:r w:rsidRPr="00B53998">
        <w:t>[pass any special resolution</w:t>
      </w:r>
      <w:r w:rsidRPr="00BD0BB8">
        <w:t xml:space="preserve"> of the Shareholders of the Company;]</w:t>
      </w:r>
      <w:r w:rsidR="0027147B">
        <w:rPr>
          <w:rStyle w:val="FootnoteReference"/>
        </w:rPr>
        <w:footnoteReference w:id="139"/>
      </w:r>
    </w:p>
    <w:p w14:paraId="346D4E77" w14:textId="2A83D0C9" w:rsidR="00C16845" w:rsidRPr="00BD0BB8" w:rsidRDefault="00C16845" w:rsidP="006A005A">
      <w:pPr>
        <w:pStyle w:val="DA3Third"/>
      </w:pPr>
      <w:r w:rsidRPr="00BD0BB8">
        <w:t>Liquidate, dissolve, or wind up the business and affairs of the Company, or approve any Liquidi</w:t>
      </w:r>
      <w:r w:rsidR="00B53998">
        <w:t xml:space="preserve">ty </w:t>
      </w:r>
      <w:r w:rsidRPr="00BD0BB8">
        <w:t>Event</w:t>
      </w:r>
      <w:r w:rsidR="00B53998">
        <w:t xml:space="preserve">; </w:t>
      </w:r>
    </w:p>
    <w:p w14:paraId="6067F688" w14:textId="68AE9D49" w:rsidR="00C16845" w:rsidRPr="00BD0BB8" w:rsidRDefault="00C16845" w:rsidP="006A005A">
      <w:pPr>
        <w:pStyle w:val="DA3Third"/>
      </w:pPr>
      <w:r w:rsidRPr="00BD0BB8">
        <w:t xml:space="preserve">Amend, alter, or repeal any provision of the Company’s </w:t>
      </w:r>
      <w:r w:rsidR="0020169E">
        <w:t>MOI</w:t>
      </w:r>
      <w:r w:rsidRPr="00BD0BB8">
        <w:t xml:space="preserve"> or other constitutional documents in a manner that adversely affects the rights of the </w:t>
      </w:r>
      <w:r w:rsidR="006314B6">
        <w:t>Preference</w:t>
      </w:r>
      <w:r w:rsidRPr="00BD0BB8">
        <w:t xml:space="preserve"> Shares</w:t>
      </w:r>
      <w:r w:rsidR="00B53998">
        <w:t xml:space="preserve">; </w:t>
      </w:r>
    </w:p>
    <w:p w14:paraId="1834D865" w14:textId="7825FA5E" w:rsidR="009E4386" w:rsidRPr="00BD0BB8" w:rsidRDefault="00C16845" w:rsidP="006A005A">
      <w:pPr>
        <w:pStyle w:val="DA3Third"/>
        <w:rPr>
          <w:bCs/>
          <w:iCs/>
        </w:rPr>
      </w:pPr>
      <w:r w:rsidRPr="00BD0BB8">
        <w:rPr>
          <w:lang w:val="en-US"/>
        </w:rPr>
        <w:t xml:space="preserve">create or authorize the creation of or issue any security (including any security convertible into or exercisable for any Share in the Company) unless the same ranks junior to the </w:t>
      </w:r>
      <w:r w:rsidR="006314B6">
        <w:rPr>
          <w:lang w:val="en-US"/>
        </w:rPr>
        <w:t>Preference</w:t>
      </w:r>
      <w:r w:rsidRPr="00BD0BB8">
        <w:rPr>
          <w:lang w:val="en-US"/>
        </w:rPr>
        <w:t xml:space="preserve"> Shares with respect to its rights, preferences and privileges</w:t>
      </w:r>
      <w:r w:rsidR="000E3327" w:rsidRPr="00BD0BB8">
        <w:rPr>
          <w:rStyle w:val="FootnoteReference"/>
          <w:lang w:val="en-US"/>
        </w:rPr>
        <w:footnoteReference w:id="140"/>
      </w:r>
      <w:r w:rsidR="009E4386" w:rsidRPr="00BD0BB8">
        <w:rPr>
          <w:lang w:val="en-US"/>
        </w:rPr>
        <w:t xml:space="preserve">; </w:t>
      </w:r>
    </w:p>
    <w:p w14:paraId="0F69AE4E" w14:textId="5FA86283" w:rsidR="00C16845" w:rsidRPr="00BD0BB8" w:rsidRDefault="00C16845" w:rsidP="006A005A">
      <w:pPr>
        <w:pStyle w:val="DA3Third"/>
        <w:rPr>
          <w:bCs/>
          <w:iCs/>
        </w:rPr>
      </w:pPr>
      <w:r w:rsidRPr="00BD0BB8">
        <w:rPr>
          <w:lang w:val="en-US"/>
        </w:rPr>
        <w:t>increase the authori</w:t>
      </w:r>
      <w:r w:rsidR="0020169E">
        <w:rPr>
          <w:lang w:val="en-US"/>
        </w:rPr>
        <w:t>s</w:t>
      </w:r>
      <w:r w:rsidRPr="00BD0BB8">
        <w:rPr>
          <w:lang w:val="en-US"/>
        </w:rPr>
        <w:t xml:space="preserve">ed number of </w:t>
      </w:r>
      <w:r w:rsidR="006314B6">
        <w:rPr>
          <w:lang w:val="en-US"/>
        </w:rPr>
        <w:t>Preference</w:t>
      </w:r>
      <w:r w:rsidRPr="00BD0BB8">
        <w:rPr>
          <w:lang w:val="en-US"/>
        </w:rPr>
        <w:t xml:space="preserve"> Shares; </w:t>
      </w:r>
    </w:p>
    <w:p w14:paraId="64509337" w14:textId="5E070F6C" w:rsidR="00C16845" w:rsidRPr="00BD0BB8" w:rsidRDefault="00C16845" w:rsidP="006A005A">
      <w:pPr>
        <w:pStyle w:val="DA3Third"/>
      </w:pPr>
      <w:r w:rsidRPr="00BD0BB8">
        <w:t>sell, issue, sponsor, create or distribute any digital tokens, cryptocurrency or other blockchain-based assets without approval of the Board of Directors</w:t>
      </w:r>
      <w:r w:rsidR="007D15C5" w:rsidRPr="00BD0BB8">
        <w:t xml:space="preserve"> </w:t>
      </w:r>
      <w:r w:rsidRPr="00BD0BB8">
        <w:t xml:space="preserve">[including the Investor Directors]; </w:t>
      </w:r>
    </w:p>
    <w:p w14:paraId="022C9D9E" w14:textId="02C64559" w:rsidR="00C16845" w:rsidRPr="00BD0BB8" w:rsidRDefault="00C16845" w:rsidP="006A005A">
      <w:pPr>
        <w:pStyle w:val="DA3Third"/>
        <w:rPr>
          <w:bCs/>
          <w:iCs/>
        </w:rPr>
      </w:pPr>
      <w:r w:rsidRPr="00BD0BB8">
        <w:rPr>
          <w:lang w:val="en-US"/>
        </w:rPr>
        <w:t xml:space="preserve">purchase or redeem or pay any dividend on any Share prior to the </w:t>
      </w:r>
      <w:r w:rsidR="006314B6">
        <w:rPr>
          <w:lang w:val="en-US"/>
        </w:rPr>
        <w:t>Preference</w:t>
      </w:r>
      <w:r w:rsidRPr="00BD0BB8">
        <w:rPr>
          <w:lang w:val="en-US"/>
        </w:rPr>
        <w:t xml:space="preserve"> Shares, other than Shares repurchased at cost from former employees and consultants in connection with the cessation of their service, [or as otherwise approved by the Board of Directors[, including the approval of [at least one] Preferred Director]</w:t>
      </w:r>
      <w:r w:rsidR="00B53998">
        <w:rPr>
          <w:bCs/>
          <w:iCs/>
        </w:rPr>
        <w:t xml:space="preserve">; </w:t>
      </w:r>
    </w:p>
    <w:p w14:paraId="04A77AD0" w14:textId="77777777" w:rsidR="00C16845" w:rsidRPr="00BD0BB8" w:rsidRDefault="00C16845" w:rsidP="006A005A">
      <w:pPr>
        <w:pStyle w:val="DA3Third"/>
      </w:pPr>
      <w:r w:rsidRPr="00BD0BB8">
        <w:rPr>
          <w:lang w:val="en-US"/>
        </w:rPr>
        <w:t xml:space="preserve">adopt, amend, terminate or repeal any equity (or equity-linked) </w:t>
      </w:r>
      <w:r w:rsidRPr="00BD0BB8">
        <w:rPr>
          <w:lang w:val="en-US"/>
        </w:rPr>
        <w:lastRenderedPageBreak/>
        <w:t>compensation plan or amend or waive any of the terms of any option or other grant pursuant to any such plan;</w:t>
      </w:r>
    </w:p>
    <w:p w14:paraId="281F2AD3" w14:textId="77777777" w:rsidR="00C16845" w:rsidRPr="00BD0BB8" w:rsidRDefault="00C16845" w:rsidP="006A005A">
      <w:pPr>
        <w:pStyle w:val="DA3Third"/>
      </w:pPr>
      <w:r w:rsidRPr="00BD0BB8">
        <w:t>create or authorize the creation of any debt security[, if the aggregate indebtedness of the Company and its subsidiaries for borrowed money following such action would exceed [R / $][____] [other than equipment leases, bank lines of credit or trade payables incurred in the ordinary course] [unless such debt security has received the prior approval of the Board of Directors, including the approval of [at least one] Preferred Director;</w:t>
      </w:r>
    </w:p>
    <w:p w14:paraId="689A371F" w14:textId="78D531E9" w:rsidR="00C16845" w:rsidRPr="00BD0BB8" w:rsidRDefault="00C16845" w:rsidP="006A005A">
      <w:pPr>
        <w:pStyle w:val="DA3Third"/>
      </w:pPr>
      <w:r w:rsidRPr="00BD0BB8">
        <w:t>increase or decrease the authori</w:t>
      </w:r>
      <w:r w:rsidR="0020169E">
        <w:t>s</w:t>
      </w:r>
      <w:r w:rsidRPr="00BD0BB8">
        <w:t xml:space="preserve">ed number of directors constituting the Board of Directors or change the number of votes entitled to be cast by any director or directors on any matter; </w:t>
      </w:r>
      <w:r w:rsidR="00B53998">
        <w:t>and</w:t>
      </w:r>
    </w:p>
    <w:p w14:paraId="7F418B1B" w14:textId="77777777" w:rsidR="00C16845" w:rsidRPr="00BD0BB8" w:rsidRDefault="00C16845" w:rsidP="006A005A">
      <w:pPr>
        <w:pStyle w:val="DA3Third"/>
      </w:pPr>
      <w:r w:rsidRPr="00BD0BB8">
        <w:t xml:space="preserve">appointment, removal and replacement of the Company's auditors; </w:t>
      </w:r>
    </w:p>
    <w:p w14:paraId="1DF64F5E" w14:textId="77777777" w:rsidR="00C16845" w:rsidRPr="00BD0BB8" w:rsidRDefault="00C16845" w:rsidP="006A005A">
      <w:pPr>
        <w:pStyle w:val="Heading1"/>
        <w:keepNext w:val="0"/>
        <w:widowControl w:val="0"/>
        <w:numPr>
          <w:ilvl w:val="0"/>
          <w:numId w:val="126"/>
        </w:numPr>
        <w:jc w:val="both"/>
        <w:rPr>
          <w:rFonts w:ascii="Arial" w:hAnsi="Arial"/>
          <w:b w:val="0"/>
          <w:color w:val="auto"/>
        </w:rPr>
      </w:pPr>
      <w:r w:rsidRPr="00BD0BB8">
        <w:rPr>
          <w:rFonts w:ascii="Arial" w:hAnsi="Arial"/>
          <w:color w:val="auto"/>
        </w:rPr>
        <w:t xml:space="preserve">PART 2: </w:t>
      </w:r>
      <w:r w:rsidRPr="00BD0BB8">
        <w:rPr>
          <w:rFonts w:ascii="Arial" w:hAnsi="Arial"/>
        </w:rPr>
        <w:t>BOARD</w:t>
      </w:r>
      <w:r w:rsidRPr="00BD0BB8">
        <w:rPr>
          <w:rFonts w:ascii="Arial" w:hAnsi="Arial"/>
          <w:color w:val="auto"/>
        </w:rPr>
        <w:t xml:space="preserve"> RESERVED MATTERS (PREFERENCE SHARE DIRECTOR VETO)</w:t>
      </w:r>
    </w:p>
    <w:p w14:paraId="0D4F8FBC" w14:textId="7A5671F5" w:rsidR="00C16845" w:rsidRPr="00BD0BB8" w:rsidRDefault="00C16845" w:rsidP="006A005A">
      <w:pPr>
        <w:pStyle w:val="DA2SecondLevel"/>
        <w:keepNext w:val="0"/>
        <w:widowControl w:val="0"/>
        <w:jc w:val="both"/>
        <w:rPr>
          <w:color w:val="auto"/>
        </w:rPr>
      </w:pPr>
      <w:r w:rsidRPr="00BD0BB8">
        <w:rPr>
          <w:color w:val="auto"/>
        </w:rPr>
        <w:t xml:space="preserve">So long as the holders of the </w:t>
      </w:r>
      <w:r w:rsidR="006314B6">
        <w:rPr>
          <w:color w:val="auto"/>
        </w:rPr>
        <w:t>Preference</w:t>
      </w:r>
      <w:r w:rsidRPr="00BD0BB8">
        <w:rPr>
          <w:color w:val="auto"/>
        </w:rPr>
        <w:t xml:space="preserve"> Shares are entitled to elect a Preference Share Director, the Company’s Board shall not approve, and the Company shall not perform, any of the following acts without first obtaining the affirmative vote of the Preference Share Director:</w:t>
      </w:r>
    </w:p>
    <w:p w14:paraId="7BEF38C3" w14:textId="6F3759A3" w:rsidR="00175721" w:rsidRPr="00BD0BB8" w:rsidRDefault="00175721" w:rsidP="006A005A">
      <w:pPr>
        <w:pStyle w:val="DA3Third"/>
      </w:pPr>
      <w:r w:rsidRPr="00BD0BB8">
        <w:t>Make any loan or advance to any person or entity, other than advances for business expenses in the ordinary course of business.</w:t>
      </w:r>
    </w:p>
    <w:p w14:paraId="32FB8E6F" w14:textId="77777777" w:rsidR="00C16845" w:rsidRPr="00BD0BB8" w:rsidRDefault="00C16845" w:rsidP="006A005A">
      <w:pPr>
        <w:pStyle w:val="DA3Third"/>
      </w:pPr>
      <w:r w:rsidRPr="00BD0BB8">
        <w:t xml:space="preserve">guarantee any indebtedness except for trade accounts of the Company or any subsidiary arising in the ordinary course of business; </w:t>
      </w:r>
    </w:p>
    <w:p w14:paraId="7793F47D" w14:textId="77777777" w:rsidR="00C16845" w:rsidRPr="00BD0BB8" w:rsidRDefault="00C16845" w:rsidP="006A005A">
      <w:pPr>
        <w:pStyle w:val="DA3Third"/>
      </w:pPr>
      <w:r w:rsidRPr="00BD0BB8">
        <w:t xml:space="preserve">make any investment inconsistent with any investment policy approved by the Board of Directors; </w:t>
      </w:r>
    </w:p>
    <w:p w14:paraId="02175A26" w14:textId="77777777" w:rsidR="00C16845" w:rsidRPr="00BD0BB8" w:rsidRDefault="00C16845" w:rsidP="006A005A">
      <w:pPr>
        <w:pStyle w:val="DA3Third"/>
      </w:pPr>
      <w:r w:rsidRPr="00BD0BB8">
        <w:t>incur any aggregate indebtedness in excess of [_____] that is not already included in a Board-approved budget, other than trade credit incurred in the ordinary course of business;</w:t>
      </w:r>
    </w:p>
    <w:p w14:paraId="54EA054C" w14:textId="5ACAFF6D" w:rsidR="00C16845" w:rsidRPr="00BD0BB8" w:rsidRDefault="00C16845" w:rsidP="006A005A">
      <w:pPr>
        <w:pStyle w:val="DA3Third"/>
      </w:pPr>
      <w:r w:rsidRPr="00BD0BB8">
        <w:t xml:space="preserve">hire, fire, or </w:t>
      </w:r>
      <w:r w:rsidR="00175721" w:rsidRPr="00BD0BB8">
        <w:t xml:space="preserve">materially </w:t>
      </w:r>
      <w:r w:rsidRPr="00BD0BB8">
        <w:t xml:space="preserve">change the compensation </w:t>
      </w:r>
      <w:r w:rsidR="00175721" w:rsidRPr="00BD0BB8">
        <w:t xml:space="preserve">or employment terms </w:t>
      </w:r>
      <w:r w:rsidRPr="00BD0BB8">
        <w:t xml:space="preserve">of the </w:t>
      </w:r>
      <w:r w:rsidR="00175721" w:rsidRPr="00BD0BB8">
        <w:t xml:space="preserve">Chief Executive Officer or any other </w:t>
      </w:r>
      <w:r w:rsidRPr="00BD0BB8">
        <w:t xml:space="preserve">executive officers, including approving any option grants; </w:t>
      </w:r>
    </w:p>
    <w:p w14:paraId="30DA15DF" w14:textId="77777777" w:rsidR="00C16845" w:rsidRPr="00BD0BB8" w:rsidRDefault="00C16845" w:rsidP="006A005A">
      <w:pPr>
        <w:pStyle w:val="DA3Third"/>
      </w:pPr>
      <w:r w:rsidRPr="00BD0BB8">
        <w:t xml:space="preserve">change the principal business of the Company, enter new lines of business, or exit the current line of business; </w:t>
      </w:r>
    </w:p>
    <w:p w14:paraId="3985CDA6" w14:textId="77777777" w:rsidR="00C16845" w:rsidRPr="00BD0BB8" w:rsidRDefault="00C16845" w:rsidP="006A005A">
      <w:pPr>
        <w:pStyle w:val="DA3Third"/>
      </w:pPr>
      <w:r w:rsidRPr="00BD0BB8">
        <w:lastRenderedPageBreak/>
        <w:t>enter into or be a party to any transaction with any director, officer or employee of the Company or any associate of any such person except transactions made in the ordinary course of business and pursuant to reasonable requirements of the Company’s business and upon fair and reasonable terms that are approved by a majority of the Board;</w:t>
      </w:r>
    </w:p>
    <w:p w14:paraId="5D2F37A3" w14:textId="5170BBBC" w:rsidR="00C16845" w:rsidRPr="00BD0BB8" w:rsidRDefault="00C16845" w:rsidP="006A005A">
      <w:pPr>
        <w:pStyle w:val="DA3Third"/>
      </w:pPr>
      <w:r w:rsidRPr="00BD0BB8">
        <w:t xml:space="preserve">sell, assign, license, pledge or encumber material technology or intellectual property, other than licenses granted in the ordinary course of business;  </w:t>
      </w:r>
    </w:p>
    <w:p w14:paraId="77765C5A" w14:textId="6CDEF43C" w:rsidR="00C16845" w:rsidRPr="00BD0BB8" w:rsidRDefault="00C16845" w:rsidP="006A005A">
      <w:pPr>
        <w:pStyle w:val="DA3Third"/>
      </w:pPr>
      <w:r w:rsidRPr="00BD0BB8">
        <w:t>enter into any corporate strategic relationship involving the payment contribution or assignment by the Company or to the Company of assets greater than [R/$]________]]</w:t>
      </w:r>
      <w:r w:rsidR="00055FDE">
        <w:t>;</w:t>
      </w:r>
      <w:r w:rsidRPr="00BD0BB8">
        <w:t xml:space="preserve"> </w:t>
      </w:r>
    </w:p>
    <w:p w14:paraId="316FEF91" w14:textId="30D713F6" w:rsidR="00C16845" w:rsidRPr="00BD0BB8" w:rsidRDefault="00055FDE" w:rsidP="006A005A">
      <w:pPr>
        <w:pStyle w:val="DA3Third"/>
      </w:pPr>
      <w:r>
        <w:t>a</w:t>
      </w:r>
      <w:r w:rsidR="00C16845" w:rsidRPr="00BD0BB8">
        <w:t>pprove or materially amend the Company’s annual budget or business plan</w:t>
      </w:r>
      <w:r>
        <w:t>;</w:t>
      </w:r>
    </w:p>
    <w:p w14:paraId="6D75097E" w14:textId="7C3D158B" w:rsidR="00C16845" w:rsidRPr="00BD0BB8" w:rsidRDefault="00C16845" w:rsidP="006A005A">
      <w:pPr>
        <w:pStyle w:val="DA3Third"/>
      </w:pPr>
      <w:r w:rsidRPr="00BD0BB8">
        <w:t xml:space="preserve">change the accounting policies of the Company; </w:t>
      </w:r>
      <w:r w:rsidR="00055FDE">
        <w:t>and</w:t>
      </w:r>
    </w:p>
    <w:p w14:paraId="3DFA0AA7" w14:textId="4E2152A6" w:rsidR="00C16845" w:rsidRPr="00BD0BB8" w:rsidRDefault="00C16845" w:rsidP="006A005A">
      <w:pPr>
        <w:pStyle w:val="DA3Third"/>
      </w:pPr>
      <w:r w:rsidRPr="00BD0BB8">
        <w:t>approval of annual accounts;</w:t>
      </w:r>
      <w:r w:rsidR="00055FDE">
        <w:t xml:space="preserve"> </w:t>
      </w:r>
    </w:p>
    <w:p w14:paraId="24427AC4" w14:textId="54993FE4" w:rsidR="00C16845" w:rsidRPr="00BD0BB8" w:rsidRDefault="00C16845" w:rsidP="006A005A">
      <w:pPr>
        <w:pStyle w:val="Heading3"/>
        <w:keepNext w:val="0"/>
        <w:keepLines w:val="0"/>
        <w:widowControl w:val="0"/>
        <w:numPr>
          <w:ilvl w:val="0"/>
          <w:numId w:val="0"/>
        </w:numPr>
        <w:ind w:left="1418"/>
      </w:pPr>
      <w:r w:rsidRPr="00BD0BB8">
        <w:t xml:space="preserve">and/or any of the aforegoing insofar as it concerns a Subsidiary or Affiliate of the Company, if any. Where any monetary restriction is specified in this </w:t>
      </w:r>
      <w:r w:rsidR="00BD0BB8">
        <w:t>Annexure B</w:t>
      </w:r>
      <w:r w:rsidRPr="00BD0BB8">
        <w:t>, such amount shall escalate annually on each anniversary of the date of adoption of this MOI by a fixed percentage equal to 8% (eight percent).</w:t>
      </w:r>
    </w:p>
    <w:sectPr w:rsidR="00C16845" w:rsidRPr="00BD0BB8" w:rsidSect="00977020">
      <w:footerReference w:type="default" r:id="rId12"/>
      <w:headerReference w:type="first" r:id="rId13"/>
      <w:footerReference w:type="first" r:id="rId14"/>
      <w:pgSz w:w="11900" w:h="16820" w:code="9"/>
      <w:pgMar w:top="1134" w:right="1134" w:bottom="1134" w:left="1134" w:header="851" w:footer="851"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Dommisse Attorneys" w:date="2025-10-10T18:20:00Z" w:initials="DA">
    <w:p w14:paraId="31DD3224" w14:textId="77777777" w:rsidR="0020169E" w:rsidRDefault="0020169E" w:rsidP="0020169E">
      <w:pPr>
        <w:pStyle w:val="CommentText"/>
        <w:jc w:val="left"/>
      </w:pPr>
      <w:r>
        <w:rPr>
          <w:rStyle w:val="CommentReference"/>
        </w:rPr>
        <w:annotationRef/>
      </w:r>
      <w:r>
        <w:rPr>
          <w:lang w:val="en-ZA"/>
        </w:rPr>
        <w:t>Adrian, just want to check the thinking here. Not sure how the link between the Investor and the Series A shares as a class works. Why the materiality threshold for a single investor as a quorum trigger for the whole class?</w:t>
      </w:r>
    </w:p>
  </w:comment>
  <w:comment w:id="137" w:author="Adrian Dommisse" w:date="2025-11-01T15:34:00Z" w:initials="AD">
    <w:p w14:paraId="0B874C2E" w14:textId="77777777" w:rsidR="005E7A6B" w:rsidRDefault="005E7A6B" w:rsidP="005E7A6B">
      <w:pPr>
        <w:pStyle w:val="CommentText"/>
        <w:jc w:val="left"/>
      </w:pPr>
      <w:r>
        <w:rPr>
          <w:rStyle w:val="CommentReference"/>
        </w:rPr>
        <w:annotationRef/>
      </w:r>
      <w:r>
        <w:t xml:space="preserve">Happy to take it out, was just common practice but probably something for deal by deal negotiation </w:t>
      </w:r>
    </w:p>
  </w:comment>
  <w:comment w:id="218" w:author="Adrian Dommisse" w:date="2025-11-01T15:38:00Z" w:initials="AD">
    <w:p w14:paraId="023A0DCA" w14:textId="77777777" w:rsidR="00B21FA0" w:rsidRDefault="00B21FA0" w:rsidP="00B21FA0">
      <w:pPr>
        <w:pStyle w:val="CommentText"/>
        <w:jc w:val="left"/>
      </w:pPr>
      <w:r>
        <w:rPr>
          <w:rStyle w:val="CommentReference"/>
        </w:rPr>
        <w:annotationRef/>
      </w:r>
      <w:r>
        <w:t>Removed as per SG’s comment on the quorum threshold for shareholder meetings.</w:t>
      </w:r>
    </w:p>
  </w:comment>
  <w:comment w:id="290" w:author="Dommisse Attorneys" w:date="2025-10-10T18:34:00Z" w:initials="DA">
    <w:p w14:paraId="30F45EF5" w14:textId="06CD40CD" w:rsidR="004B0C00" w:rsidRDefault="004B0C00" w:rsidP="004B0C00">
      <w:pPr>
        <w:pStyle w:val="CommentText"/>
        <w:jc w:val="left"/>
      </w:pPr>
      <w:r>
        <w:rPr>
          <w:rStyle w:val="CommentReference"/>
        </w:rPr>
        <w:annotationRef/>
      </w:r>
      <w:r>
        <w:rPr>
          <w:lang w:val="en-ZA"/>
        </w:rPr>
        <w:t>We need to clarify here whether the participation is pro rata to shareholding or to the liquidation preference. I have seen disputes on this before. It should be based on liquidity preference in my view. See suggested wording from the NVCA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DD3224" w15:done="0"/>
  <w15:commentEx w15:paraId="0B874C2E" w15:paraIdParent="31DD3224" w15:done="0"/>
  <w15:commentEx w15:paraId="023A0DCA" w15:done="0"/>
  <w15:commentEx w15:paraId="30F45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026CB5" w16cex:dateUtc="2025-10-10T16:20:00Z"/>
  <w16cex:commentExtensible w16cex:durableId="5400D7EF" w16cex:dateUtc="2025-11-01T13:34:00Z"/>
  <w16cex:commentExtensible w16cex:durableId="3C4DA59E" w16cex:dateUtc="2025-11-01T13:38:00Z"/>
  <w16cex:commentExtensible w16cex:durableId="58AF24B4" w16cex:dateUtc="2025-10-10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DD3224" w16cid:durableId="03026CB5"/>
  <w16cid:commentId w16cid:paraId="0B874C2E" w16cid:durableId="5400D7EF"/>
  <w16cid:commentId w16cid:paraId="023A0DCA" w16cid:durableId="3C4DA59E"/>
  <w16cid:commentId w16cid:paraId="30F45EF5" w16cid:durableId="58AF24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0F42" w14:textId="77777777" w:rsidR="003648B4" w:rsidRDefault="003648B4">
      <w:pPr>
        <w:spacing w:line="240" w:lineRule="auto"/>
      </w:pPr>
      <w:r>
        <w:separator/>
      </w:r>
    </w:p>
  </w:endnote>
  <w:endnote w:type="continuationSeparator" w:id="0">
    <w:p w14:paraId="2D2AEA90" w14:textId="77777777" w:rsidR="003648B4" w:rsidRDefault="00364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9632"/>
    </w:tblGrid>
    <w:tr w:rsidR="001E69F0" w14:paraId="09669635" w14:textId="77777777" w:rsidTr="000E1324">
      <w:tc>
        <w:tcPr>
          <w:tcW w:w="9855" w:type="dxa"/>
        </w:tcPr>
        <w:p w14:paraId="24F94206" w14:textId="77777777" w:rsidR="000D6152" w:rsidRPr="000E1324" w:rsidRDefault="00BF3AAB" w:rsidP="000E1324">
          <w:pPr>
            <w:pStyle w:val="Footer"/>
            <w:jc w:val="center"/>
            <w:rPr>
              <w:i/>
              <w:lang w:val="en-US"/>
            </w:rPr>
          </w:pPr>
          <w:r w:rsidRPr="000E1324">
            <w:rPr>
              <w:i/>
              <w:lang w:val="en-US"/>
            </w:rPr>
            <w:t xml:space="preserve">Page </w:t>
          </w:r>
          <w:r w:rsidRPr="000E1324">
            <w:rPr>
              <w:rStyle w:val="PageNumber"/>
              <w:i/>
              <w:szCs w:val="16"/>
            </w:rPr>
            <w:fldChar w:fldCharType="begin"/>
          </w:r>
          <w:r w:rsidRPr="00B365E6">
            <w:rPr>
              <w:rStyle w:val="PageNumber"/>
              <w:i/>
              <w:szCs w:val="16"/>
            </w:rPr>
            <w:instrText xml:space="preserve"> PAGE </w:instrText>
          </w:r>
          <w:r w:rsidRPr="000E1324">
            <w:rPr>
              <w:rStyle w:val="PageNumber"/>
              <w:i/>
              <w:szCs w:val="16"/>
            </w:rPr>
            <w:fldChar w:fldCharType="separate"/>
          </w:r>
          <w:r w:rsidRPr="00B365E6">
            <w:rPr>
              <w:rStyle w:val="PageNumber"/>
              <w:i/>
              <w:szCs w:val="16"/>
            </w:rPr>
            <w:t>46</w:t>
          </w:r>
          <w:r w:rsidRPr="000E1324">
            <w:rPr>
              <w:rStyle w:val="PageNumber"/>
              <w:i/>
            </w:rPr>
            <w:fldChar w:fldCharType="end"/>
          </w:r>
        </w:p>
      </w:tc>
    </w:tr>
  </w:tbl>
  <w:p w14:paraId="3F9D214E" w14:textId="77777777" w:rsidR="000D6152" w:rsidRPr="000E1324" w:rsidRDefault="000D6152" w:rsidP="000E1324">
    <w:pPr>
      <w:pStyle w:val="Footer"/>
      <w:jc w:val="center"/>
      <w:rPr>
        <w:sz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04C7" w14:textId="53FE1055" w:rsidR="000D6152" w:rsidRPr="000E1324" w:rsidRDefault="000D6152" w:rsidP="000E1324">
    <w:pPr>
      <w:pStyle w:val="Footer"/>
      <w:jc w:val="center"/>
      <w:rPr>
        <w: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8C4F" w14:textId="77777777" w:rsidR="003648B4" w:rsidRDefault="003648B4">
      <w:pPr>
        <w:spacing w:line="240" w:lineRule="auto"/>
      </w:pPr>
      <w:r>
        <w:separator/>
      </w:r>
    </w:p>
  </w:footnote>
  <w:footnote w:type="continuationSeparator" w:id="0">
    <w:p w14:paraId="65FCC59D" w14:textId="77777777" w:rsidR="003648B4" w:rsidRDefault="003648B4">
      <w:pPr>
        <w:spacing w:line="240" w:lineRule="auto"/>
      </w:pPr>
      <w:r>
        <w:continuationSeparator/>
      </w:r>
    </w:p>
  </w:footnote>
  <w:footnote w:id="1">
    <w:p w14:paraId="311A666A" w14:textId="77777777" w:rsidR="00D66878" w:rsidRPr="00672DC3" w:rsidRDefault="00D66878" w:rsidP="00351466">
      <w:pPr>
        <w:pStyle w:val="FootnoteText"/>
        <w:keepNext/>
        <w:keepLines/>
        <w:spacing w:after="0" w:line="240" w:lineRule="auto"/>
        <w:rPr>
          <w:rFonts w:cs="Arial"/>
          <w:b/>
          <w:bCs/>
          <w:i/>
          <w:iCs/>
          <w:color w:val="A6A6A6" w:themeColor="background1" w:themeShade="A6"/>
          <w:sz w:val="16"/>
          <w:szCs w:val="16"/>
          <w:lang w:val="en-ZA"/>
        </w:rPr>
      </w:pPr>
      <w:r w:rsidRPr="00672DC3">
        <w:rPr>
          <w:rStyle w:val="FootnoteReference"/>
          <w:rFonts w:cs="Arial"/>
          <w:color w:val="A6A6A6" w:themeColor="background1" w:themeShade="A6"/>
          <w:sz w:val="16"/>
          <w:szCs w:val="16"/>
        </w:rPr>
        <w:footnoteRef/>
      </w:r>
      <w:r w:rsidRPr="00672DC3">
        <w:rPr>
          <w:rFonts w:cs="Arial"/>
          <w:b/>
          <w:bCs/>
          <w:i/>
          <w:iCs/>
          <w:color w:val="A6A6A6" w:themeColor="background1" w:themeShade="A6"/>
          <w:sz w:val="16"/>
          <w:szCs w:val="16"/>
          <w:lang w:val="en-ZA"/>
        </w:rPr>
        <w:t xml:space="preserve"> </w:t>
      </w:r>
      <w:r w:rsidRPr="00672DC3">
        <w:rPr>
          <w:rFonts w:cs="Arial"/>
          <w:color w:val="A6A6A6" w:themeColor="background1" w:themeShade="A6"/>
          <w:sz w:val="16"/>
          <w:szCs w:val="16"/>
          <w:lang w:val="en-ZA"/>
        </w:rPr>
        <w:t>The interpretation clause sets out words which have been defined in the MOI and should bear the same meaning as words in the Companies Act. These terms should always be capitalised. Note that terms that have been defined in the Companies Act (and not defined again in the MOI), are also capitalised.</w:t>
      </w:r>
      <w:r w:rsidR="007C4C55" w:rsidRPr="00672DC3">
        <w:rPr>
          <w:rFonts w:cs="Arial"/>
          <w:b/>
          <w:bCs/>
          <w:i/>
          <w:iCs/>
          <w:color w:val="A6A6A6" w:themeColor="background1" w:themeShade="A6"/>
          <w:sz w:val="16"/>
          <w:szCs w:val="16"/>
          <w:lang w:val="en-ZA"/>
        </w:rPr>
        <w:t xml:space="preserve"> </w:t>
      </w:r>
    </w:p>
    <w:p w14:paraId="5CD7C746" w14:textId="77777777" w:rsidR="00D66878" w:rsidRPr="00AD1F75" w:rsidRDefault="00D66878" w:rsidP="00351466">
      <w:pPr>
        <w:pStyle w:val="FootnoteText"/>
        <w:keepNext/>
        <w:keepLines/>
        <w:spacing w:after="0" w:line="240" w:lineRule="auto"/>
        <w:rPr>
          <w:rFonts w:cs="Arial"/>
          <w:sz w:val="16"/>
          <w:szCs w:val="16"/>
          <w:lang w:val="en-ZA"/>
        </w:rPr>
      </w:pPr>
    </w:p>
  </w:footnote>
  <w:footnote w:id="2">
    <w:p w14:paraId="11883EDA" w14:textId="7CA40A4C" w:rsidR="008C2A37" w:rsidRPr="00AD1F75" w:rsidRDefault="008C2A37">
      <w:pPr>
        <w:pStyle w:val="FootnoteText"/>
        <w:rPr>
          <w:rFonts w:cs="Arial"/>
          <w:sz w:val="16"/>
          <w:szCs w:val="16"/>
          <w:lang w:val="en-US"/>
        </w:rPr>
      </w:pPr>
      <w:r w:rsidRPr="00AD1F75">
        <w:rPr>
          <w:rStyle w:val="FootnoteReference"/>
          <w:rFonts w:cs="Arial"/>
          <w:sz w:val="16"/>
          <w:szCs w:val="16"/>
        </w:rPr>
        <w:footnoteRef/>
      </w:r>
      <w:r w:rsidRPr="00AD1F75">
        <w:rPr>
          <w:rFonts w:cs="Arial"/>
          <w:sz w:val="16"/>
          <w:szCs w:val="16"/>
        </w:rPr>
        <w:t xml:space="preserve"> </w:t>
      </w:r>
      <w:r w:rsidRPr="00AD1F75">
        <w:rPr>
          <w:rFonts w:cs="Arial"/>
          <w:sz w:val="16"/>
          <w:szCs w:val="16"/>
          <w:lang w:val="en-US"/>
        </w:rPr>
        <w:t>Covered by definition of Original Issue Price</w:t>
      </w:r>
    </w:p>
  </w:footnote>
  <w:footnote w:id="3">
    <w:p w14:paraId="579C243E" w14:textId="6C588081" w:rsidR="008D78EF" w:rsidRPr="00AD1F75" w:rsidRDefault="008D78EF" w:rsidP="00BB70D5">
      <w:pPr>
        <w:pStyle w:val="DAFN"/>
      </w:pPr>
      <w:r w:rsidRPr="00AD1F75">
        <w:rPr>
          <w:rStyle w:val="FootnoteReference"/>
        </w:rPr>
        <w:footnoteRef/>
      </w:r>
      <w:r w:rsidRPr="00AD1F75">
        <w:t xml:space="preserve"> Option language: </w:t>
      </w:r>
      <w:r w:rsidR="006A005A">
        <w:t>"</w:t>
      </w:r>
      <w:r w:rsidRPr="00AD1F75">
        <w:t>all or substantially all the business or assets of the Company</w:t>
      </w:r>
      <w:r w:rsidR="006A005A">
        <w:t>"</w:t>
      </w:r>
      <w:r w:rsidRPr="00AD1F75">
        <w:t xml:space="preserve"> or </w:t>
      </w:r>
      <w:r w:rsidR="006A005A">
        <w:t>"</w:t>
      </w:r>
      <w:r w:rsidRPr="00AD1F75">
        <w:t>all or substantially all assets of the Company</w:t>
      </w:r>
      <w:r w:rsidR="006A005A">
        <w:t>"</w:t>
      </w:r>
      <w:r w:rsidRPr="00AD1F75">
        <w:t xml:space="preserve">.  Including </w:t>
      </w:r>
      <w:r w:rsidR="006A005A">
        <w:t>"</w:t>
      </w:r>
      <w:r w:rsidRPr="00AD1F75">
        <w:t>the business</w:t>
      </w:r>
      <w:r w:rsidR="006A005A">
        <w:t>"</w:t>
      </w:r>
      <w:r w:rsidRPr="00AD1F75">
        <w:t xml:space="preserve"> may avoid uncertainty where the Company sells some but not all some of its assets, but does in fact sell the going concern core of the business.  </w:t>
      </w:r>
    </w:p>
  </w:footnote>
  <w:footnote w:id="4">
    <w:p w14:paraId="4281D160" w14:textId="694FE118" w:rsidR="009A076B" w:rsidRPr="00AD1F75" w:rsidRDefault="009A076B" w:rsidP="00BB70D5">
      <w:pPr>
        <w:pStyle w:val="DAFN"/>
      </w:pPr>
      <w:r w:rsidRPr="00AD1F75">
        <w:rPr>
          <w:rStyle w:val="FootnoteReference"/>
        </w:rPr>
        <w:footnoteRef/>
      </w:r>
      <w:r w:rsidRPr="00AD1F75">
        <w:t xml:space="preserve"> T</w:t>
      </w:r>
      <w:r w:rsidR="00041D2B" w:rsidRPr="00AD1F75">
        <w:t>h</w:t>
      </w:r>
      <w:r w:rsidRPr="00AD1F75">
        <w:t xml:space="preserve">ere are strategic situations where the preference </w:t>
      </w:r>
      <w:r w:rsidR="00BD22B2" w:rsidRPr="00AD1F75">
        <w:t xml:space="preserve">Shareholders </w:t>
      </w:r>
      <w:r w:rsidRPr="00AD1F75">
        <w:t xml:space="preserve">might not want to trigger a Liquidity Preference (e.g. in a share-for-share merger with a larger, promising company, they might prefer to roll their equity into the new entity on a pro-rata basis alongside the ordinary shareholders, rather than taking a smaller, immediate cash-out.) Drafters must carefully define the threshold </w:t>
      </w:r>
      <w:r w:rsidR="00041D2B" w:rsidRPr="00AD1F75">
        <w:t>that can waive this right - c</w:t>
      </w:r>
      <w:r w:rsidRPr="00AD1F75">
        <w:t>onsideration should be given to whether the</w:t>
      </w:r>
      <w:r w:rsidR="00041D2B" w:rsidRPr="00AD1F75">
        <w:t xml:space="preserve"> </w:t>
      </w:r>
      <w:r w:rsidRPr="00AD1F75">
        <w:t xml:space="preserve">classes </w:t>
      </w:r>
      <w:r w:rsidR="00041D2B" w:rsidRPr="00AD1F75">
        <w:t xml:space="preserve">of Preference Shares </w:t>
      </w:r>
      <w:r w:rsidRPr="00AD1F75">
        <w:t xml:space="preserve">vote together as a single group or if a separate vote of each series is required. </w:t>
      </w:r>
      <w:r w:rsidR="00041D2B" w:rsidRPr="00AD1F75">
        <w:t xml:space="preserve">It is possible also for the Preference Shareholders to waive some but not all of there preferences. In that case, consider whether the MOI should be amended to reflect that specific change. </w:t>
      </w:r>
    </w:p>
  </w:footnote>
  <w:footnote w:id="5">
    <w:p w14:paraId="1DF27778" w14:textId="66D5C473" w:rsidR="00D06AC9" w:rsidRPr="00AD1F75" w:rsidRDefault="00D06AC9" w:rsidP="00BB70D5">
      <w:pPr>
        <w:pStyle w:val="DAFN"/>
      </w:pPr>
      <w:r w:rsidRPr="00AD1F75">
        <w:rPr>
          <w:rStyle w:val="FootnoteReference"/>
        </w:rPr>
        <w:footnoteRef/>
      </w:r>
      <w:r w:rsidRPr="00AD1F75">
        <w:t xml:space="preserve"> Definition </w:t>
      </w:r>
      <w:r w:rsidR="00BD22B2">
        <w:t xml:space="preserve">may be extended in future rounds to </w:t>
      </w:r>
      <w:r w:rsidRPr="00AD1F75">
        <w:t xml:space="preserve">cater for additional Preference Shares, so that various </w:t>
      </w:r>
      <w:r w:rsidR="00BD22B2">
        <w:t xml:space="preserve">voting </w:t>
      </w:r>
      <w:r w:rsidRPr="00AD1F75">
        <w:t xml:space="preserve">preferences described in this document automatically apply if additional Preference Shares are described. </w:t>
      </w:r>
    </w:p>
  </w:footnote>
  <w:footnote w:id="6">
    <w:p w14:paraId="587C6EDB" w14:textId="55606489" w:rsidR="00625FA3" w:rsidRPr="00BB70D5" w:rsidRDefault="00625FA3" w:rsidP="00BB70D5">
      <w:pPr>
        <w:pStyle w:val="DAFG"/>
      </w:pPr>
      <w:r w:rsidRPr="00BB70D5">
        <w:rPr>
          <w:rStyle w:val="FootnoteReference"/>
        </w:rPr>
        <w:footnoteRef/>
      </w:r>
      <w:r w:rsidRPr="00BB70D5">
        <w:t xml:space="preserve"> </w:t>
      </w:r>
      <w:r w:rsidRPr="00BB70D5">
        <w:rPr>
          <w:b/>
          <w:bCs/>
        </w:rPr>
        <w:t xml:space="preserve">Unalterable provision: </w:t>
      </w:r>
      <w:r w:rsidRPr="00BB70D5">
        <w:rPr>
          <w:b/>
          <w:bCs/>
          <w:i/>
          <w:iCs/>
        </w:rPr>
        <w:t>Section 5(3):</w:t>
      </w:r>
      <w:r w:rsidRPr="00BB70D5">
        <w:t xml:space="preserve"> read with the definition of </w:t>
      </w:r>
      <w:r w:rsidR="006A005A">
        <w:t>"</w:t>
      </w:r>
      <w:r w:rsidRPr="00BB70D5">
        <w:t>business days</w:t>
      </w:r>
      <w:r w:rsidR="006A005A">
        <w:t>"</w:t>
      </w:r>
      <w:r w:rsidRPr="00BB70D5">
        <w:t xml:space="preserve"> in section 1, prescribes the method for calculating business days in respect of the Companies Act.</w:t>
      </w:r>
      <w:r w:rsidR="00C835C1" w:rsidRPr="00BB70D5">
        <w:t xml:space="preserve"> </w:t>
      </w:r>
      <w:r w:rsidRPr="00BB70D5">
        <w:t>This clause 2 in the MOI prescribes the method for calculating business days in respect of the MOI – we would not recommend making this method different from the method used in the Companies Act, as it can lead to confusion.</w:t>
      </w:r>
    </w:p>
  </w:footnote>
  <w:footnote w:id="7">
    <w:p w14:paraId="6CA46D62" w14:textId="77777777" w:rsidR="00C835C1" w:rsidRPr="00AD1F75" w:rsidRDefault="00625FA3" w:rsidP="00BB70D5">
      <w:pPr>
        <w:pStyle w:val="DAFG"/>
      </w:pPr>
      <w:r w:rsidRPr="00AD1F75">
        <w:rPr>
          <w:rStyle w:val="FootnoteReference"/>
        </w:rPr>
        <w:footnoteRef/>
      </w:r>
      <w:r w:rsidRPr="00AD1F75">
        <w:t xml:space="preserve"> </w:t>
      </w:r>
      <w:r w:rsidRPr="00BB70D5">
        <w:t>Alterable provision:</w:t>
      </w:r>
      <w:r w:rsidRPr="00AD1F75">
        <w:t xml:space="preserve"> </w:t>
      </w:r>
      <w:r w:rsidRPr="00AD1F75">
        <w:rPr>
          <w:b/>
          <w:bCs/>
          <w:i/>
          <w:iCs/>
        </w:rPr>
        <w:t>Section 19(1)(b):</w:t>
      </w:r>
      <w:r w:rsidRPr="00AD1F75">
        <w:t xml:space="preserve"> the company will have the legal powers and capacity of a natural person, except:</w:t>
      </w:r>
    </w:p>
    <w:p w14:paraId="7B053971" w14:textId="77777777" w:rsidR="00625FA3" w:rsidRPr="00AD1F75" w:rsidRDefault="00C835C1" w:rsidP="00BB70D5">
      <w:pPr>
        <w:pStyle w:val="DAFG"/>
      </w:pPr>
      <w:r w:rsidRPr="00AD1F75">
        <w:t xml:space="preserve">- </w:t>
      </w:r>
      <w:r w:rsidR="00625FA3" w:rsidRPr="00AD1F75">
        <w:t>where it is incapable of exercising such a power or having any such capacity; or</w:t>
      </w:r>
    </w:p>
    <w:p w14:paraId="1279932C" w14:textId="77777777" w:rsidR="00625FA3" w:rsidRPr="00AD1F75" w:rsidRDefault="00C835C1" w:rsidP="00BB70D5">
      <w:pPr>
        <w:pStyle w:val="DAFG"/>
      </w:pPr>
      <w:r w:rsidRPr="00AD1F75">
        <w:t xml:space="preserve">- </w:t>
      </w:r>
      <w:r w:rsidR="00625FA3" w:rsidRPr="00AD1F75">
        <w:t>as provided otherwise in the MOI (making reference to special conditions that may limit the powers and capacity of the company).</w:t>
      </w:r>
    </w:p>
  </w:footnote>
  <w:footnote w:id="8">
    <w:p w14:paraId="022F3B6F" w14:textId="77777777" w:rsidR="00F14432" w:rsidRPr="00AD1F75" w:rsidRDefault="00F14432" w:rsidP="00BB70D5">
      <w:pPr>
        <w:pStyle w:val="DAFG"/>
      </w:pPr>
      <w:r w:rsidRPr="00AD1F75">
        <w:rPr>
          <w:rStyle w:val="FootnoteReference"/>
        </w:rPr>
        <w:footnoteRef/>
      </w:r>
      <w:r w:rsidRPr="00AD1F75">
        <w:t xml:space="preserve"> </w:t>
      </w:r>
      <w:r w:rsidRPr="00AD1F75">
        <w:rPr>
          <w:b/>
          <w:bCs/>
        </w:rPr>
        <w:t xml:space="preserve">►►►RED FLAG►►►: </w:t>
      </w:r>
      <w:r w:rsidRPr="00AD1F75">
        <w:t xml:space="preserve">In order for a company to be a private company it must contain a </w:t>
      </w:r>
      <w:r w:rsidRPr="00AD1F75">
        <w:rPr>
          <w:u w:val="single"/>
        </w:rPr>
        <w:t>restriction on the transferability</w:t>
      </w:r>
      <w:r w:rsidRPr="00AD1F75">
        <w:t xml:space="preserve"> of its securities. If you don't elect to include the pre-emption rights on transfer clause (which is the clause cross-referred to in this clause), then ensure that you include another form of restriction in the MOI, for example, the board must approve all transfers of securities in writing.</w:t>
      </w:r>
    </w:p>
  </w:footnote>
  <w:footnote w:id="9">
    <w:p w14:paraId="5DA3F2A2" w14:textId="77777777" w:rsidR="00F14432" w:rsidRPr="00AD1F75" w:rsidRDefault="00F14432" w:rsidP="00BB70D5">
      <w:pPr>
        <w:pStyle w:val="DAFG"/>
      </w:pPr>
      <w:r w:rsidRPr="00AD1F75">
        <w:rPr>
          <w:rStyle w:val="FootnoteReference"/>
        </w:rPr>
        <w:footnoteRef/>
      </w:r>
      <w:r w:rsidRPr="00AD1F75">
        <w:t xml:space="preserve"> </w:t>
      </w:r>
      <w:r w:rsidRPr="00AD1F75">
        <w:rPr>
          <w:b/>
          <w:bCs/>
        </w:rPr>
        <w:t xml:space="preserve">Unalterable provision: </w:t>
      </w:r>
      <w:r w:rsidRPr="00AD1F75">
        <w:rPr>
          <w:b/>
          <w:bCs/>
          <w:i/>
          <w:iCs/>
        </w:rPr>
        <w:t>Section 17(1):</w:t>
      </w:r>
      <w:r w:rsidRPr="00AD1F75">
        <w:t xml:space="preserve"> the board of directors of the company (or an individual authorised by the board) can alter the company's rules or MOI in any manner necessary to correct patent errors. The process for making such amendments is also set out in this section.</w:t>
      </w:r>
    </w:p>
  </w:footnote>
  <w:footnote w:id="10">
    <w:p w14:paraId="7A80CA51" w14:textId="77777777" w:rsidR="00C835C1" w:rsidRPr="00AD1F75" w:rsidRDefault="00C835C1" w:rsidP="00BB70D5">
      <w:pPr>
        <w:pStyle w:val="DAFG"/>
      </w:pPr>
      <w:r w:rsidRPr="00AD1F75">
        <w:rPr>
          <w:rStyle w:val="FootnoteReference"/>
        </w:rPr>
        <w:footnoteRef/>
      </w:r>
      <w:r w:rsidRPr="00AD1F75">
        <w:t xml:space="preserve"> </w:t>
      </w:r>
      <w:r w:rsidRPr="00AD1F75">
        <w:rPr>
          <w:b/>
          <w:bCs/>
        </w:rPr>
        <w:t xml:space="preserve">Alterable provision: </w:t>
      </w:r>
      <w:r w:rsidRPr="00AD1F75">
        <w:rPr>
          <w:b/>
          <w:bCs/>
          <w:i/>
          <w:iCs/>
        </w:rPr>
        <w:t>Section 17(1)(a):</w:t>
      </w:r>
      <w:r w:rsidRPr="00AD1F75">
        <w:t xml:space="preserve"> the notice of alteration of the company's rules or MOI must be published in any manner required or permitted by MOI (or rules, as the case may be). Clause 4.2 sets out the manner we've specified in our standard MOI.</w:t>
      </w:r>
    </w:p>
  </w:footnote>
  <w:footnote w:id="11">
    <w:p w14:paraId="14D9A267" w14:textId="77777777" w:rsidR="00C835C1" w:rsidRPr="00AD1F75" w:rsidRDefault="00C835C1" w:rsidP="00BB70D5">
      <w:pPr>
        <w:pStyle w:val="DAFG"/>
      </w:pPr>
      <w:r w:rsidRPr="00AD1F75">
        <w:rPr>
          <w:rStyle w:val="FootnoteReference"/>
        </w:rPr>
        <w:footnoteRef/>
      </w:r>
      <w:r w:rsidRPr="00AD1F75">
        <w:t xml:space="preserve"> Alterable provision: </w:t>
      </w:r>
      <w:r w:rsidRPr="00AD1F75">
        <w:rPr>
          <w:i/>
          <w:iCs/>
        </w:rPr>
        <w:t>Section 15(2)(b):</w:t>
      </w:r>
      <w:r w:rsidRPr="00AD1F75">
        <w:t xml:space="preserve"> an MOI may contain:</w:t>
      </w:r>
    </w:p>
    <w:p w14:paraId="7C380DE6" w14:textId="77777777" w:rsidR="00C835C1" w:rsidRPr="00AD1F75" w:rsidRDefault="00C835C1" w:rsidP="00BB70D5">
      <w:pPr>
        <w:pStyle w:val="DAFG"/>
      </w:pPr>
      <w:r w:rsidRPr="00AD1F75">
        <w:t>any restrictive conditions applicable to the company; or</w:t>
      </w:r>
    </w:p>
    <w:p w14:paraId="0D7A3182" w14:textId="77777777" w:rsidR="00C835C1" w:rsidRPr="00AD1F75" w:rsidRDefault="00C835C1" w:rsidP="00BB70D5">
      <w:pPr>
        <w:pStyle w:val="DAFG"/>
      </w:pPr>
      <w:r w:rsidRPr="00AD1F75">
        <w:t>procedural requirements for the amendment of any such condition, in addition to the requirements set out in section 16</w:t>
      </w:r>
    </w:p>
    <w:p w14:paraId="23CA12EF" w14:textId="77777777" w:rsidR="00C835C1" w:rsidRPr="00AD1F75" w:rsidRDefault="00C835C1" w:rsidP="00BB70D5">
      <w:pPr>
        <w:pStyle w:val="DAFG"/>
      </w:pPr>
      <w:r w:rsidRPr="00AD1F75">
        <w:t>Further to this, section 16(1)(c)(i) read with section 16(2) of the Companies Act determines that an MOI may provide different requirements than those set out in section 16(1)(c)(i) with respect to proposals for amendments to the company's MOI.</w:t>
      </w:r>
    </w:p>
    <w:p w14:paraId="1A4511F9" w14:textId="04FDA70B" w:rsidR="00C835C1" w:rsidRPr="00AD1F75" w:rsidRDefault="00C835C1" w:rsidP="00BB70D5">
      <w:pPr>
        <w:pStyle w:val="DAFG"/>
      </w:pPr>
      <w:r w:rsidRPr="00AD1F75">
        <w:t xml:space="preserve">►►►RED FLAG►►►: A company may be rendered a </w:t>
      </w:r>
      <w:r w:rsidR="006A005A">
        <w:t>"</w:t>
      </w:r>
      <w:r w:rsidRPr="00AD1F75">
        <w:t>ring-fenced company</w:t>
      </w:r>
      <w:r w:rsidR="006A005A">
        <w:t>"</w:t>
      </w:r>
      <w:r w:rsidRPr="00AD1F75">
        <w:t xml:space="preserve"> if the MOI contains any restrictive conditions applicable to the company, and any additional requirement for amendment of any such condition, or if the MOI contains any provisions prohibiting the amendment of any other particular provision of the MOI. Please ensure that you know and understand when a company will be deemed to be a </w:t>
      </w:r>
      <w:r w:rsidR="006A005A">
        <w:t>"</w:t>
      </w:r>
      <w:r w:rsidRPr="00AD1F75">
        <w:t>ring-fenced company</w:t>
      </w:r>
      <w:r w:rsidR="006A005A">
        <w:t>"</w:t>
      </w:r>
      <w:r w:rsidRPr="00AD1F75">
        <w:t>.</w:t>
      </w:r>
    </w:p>
    <w:p w14:paraId="66CF4B4E" w14:textId="417E56AF" w:rsidR="00C835C1" w:rsidRPr="00AD1F75" w:rsidRDefault="00C835C1" w:rsidP="00BB70D5">
      <w:pPr>
        <w:pStyle w:val="DAFG"/>
      </w:pPr>
      <w:r w:rsidRPr="00AD1F75">
        <w:t xml:space="preserve">If this is the case, the name of the company must have (RF) (ring-fenced) immediately following its name – this will mean that the doctrine of constructive notice will apply to these companies. Note that placing a restriction on the manner in which the MOI can be amended is not the only special condition that can render a company </w:t>
      </w:r>
      <w:r w:rsidR="006A005A">
        <w:t>"</w:t>
      </w:r>
      <w:r w:rsidRPr="00AD1F75">
        <w:t>ring-fenced</w:t>
      </w:r>
      <w:r w:rsidR="006A005A">
        <w:t>"</w:t>
      </w:r>
      <w:r w:rsidRPr="00AD1F75">
        <w:t xml:space="preserve"> – see sections 15(2)(b) and (c) of the Companies Act.</w:t>
      </w:r>
    </w:p>
    <w:p w14:paraId="3988E4F9" w14:textId="500059B6" w:rsidR="00C835C1" w:rsidRPr="00AD1F75" w:rsidRDefault="00C835C1" w:rsidP="00BB70D5">
      <w:pPr>
        <w:pStyle w:val="DAFG"/>
      </w:pPr>
      <w:r w:rsidRPr="00AD1F75">
        <w:t xml:space="preserve">Section 19(4) of the Companies Act abolishes the doctrine of constructive notice for all </w:t>
      </w:r>
      <w:r w:rsidR="006A005A">
        <w:t>"</w:t>
      </w:r>
      <w:r w:rsidRPr="00AD1F75">
        <w:t>ordinary</w:t>
      </w:r>
      <w:r w:rsidR="006A005A">
        <w:t>"</w:t>
      </w:r>
      <w:r w:rsidRPr="00AD1F75">
        <w:t xml:space="preserve"> companies. This means that a person must not be regarded as having received notice of or knowledge of the contents of any document relating to a company, merely because the document has been filed (at the CIPC) or is accessible for inspection at an office of the company.</w:t>
      </w:r>
    </w:p>
    <w:p w14:paraId="53C5050A" w14:textId="77777777" w:rsidR="00C835C1" w:rsidRPr="00AD1F75" w:rsidRDefault="00C835C1" w:rsidP="00BB70D5">
      <w:pPr>
        <w:pStyle w:val="DAFG"/>
      </w:pPr>
      <w:r w:rsidRPr="00AD1F75">
        <w:t xml:space="preserve">Third parties will no longer be bound by the constitution of the company and other public documents, unless they had </w:t>
      </w:r>
      <w:r w:rsidRPr="00AD1F75">
        <w:rPr>
          <w:u w:val="single"/>
        </w:rPr>
        <w:t>actual</w:t>
      </w:r>
      <w:r w:rsidRPr="00AD1F75">
        <w:t xml:space="preserve"> knowledge of the contents thereof.</w:t>
      </w:r>
    </w:p>
    <w:p w14:paraId="485F2FA4" w14:textId="46C81EA2" w:rsidR="00C835C1" w:rsidRPr="00AD1F75" w:rsidRDefault="00C835C1" w:rsidP="00BB70D5">
      <w:pPr>
        <w:pStyle w:val="DAFG"/>
      </w:pPr>
      <w:r w:rsidRPr="00AD1F75">
        <w:t xml:space="preserve">The exception to this abolishment of the doctrine of constructive notice is if the MOI contains special conditions restricting its amendment, rendering it a </w:t>
      </w:r>
      <w:r w:rsidR="006A005A">
        <w:t>"</w:t>
      </w:r>
      <w:r w:rsidRPr="00AD1F75">
        <w:t>ring-fenced company</w:t>
      </w:r>
      <w:r w:rsidR="006A005A">
        <w:t>"</w:t>
      </w:r>
      <w:r w:rsidRPr="00AD1F75">
        <w:t>.</w:t>
      </w:r>
    </w:p>
    <w:p w14:paraId="06B38CB6" w14:textId="77777777" w:rsidR="00C835C1" w:rsidRPr="00AD1F75" w:rsidRDefault="00C835C1" w:rsidP="00351466">
      <w:pPr>
        <w:pStyle w:val="FootnoteText"/>
        <w:keepNext/>
        <w:keepLines/>
        <w:spacing w:after="0" w:line="240" w:lineRule="auto"/>
        <w:rPr>
          <w:rFonts w:cs="Arial"/>
          <w:sz w:val="16"/>
          <w:szCs w:val="16"/>
          <w:lang w:val="en-ZA"/>
        </w:rPr>
      </w:pPr>
    </w:p>
  </w:footnote>
  <w:footnote w:id="12">
    <w:p w14:paraId="4248E9FE" w14:textId="77777777" w:rsidR="00C835C1" w:rsidRPr="00BB70D5" w:rsidRDefault="00C835C1" w:rsidP="00BB70D5">
      <w:pPr>
        <w:pStyle w:val="DAFG"/>
      </w:pPr>
      <w:r w:rsidRPr="00AD1F75">
        <w:rPr>
          <w:rStyle w:val="FootnoteReference"/>
        </w:rPr>
        <w:footnoteRef/>
      </w:r>
      <w:r w:rsidRPr="00AD1F75">
        <w:t xml:space="preserve"> </w:t>
      </w:r>
      <w:r w:rsidRPr="00BB70D5">
        <w:t xml:space="preserve">Alterable provision: Section 15(3): the board of directors of a company may make, amend or repeal rules relating to the governance of the company in respect of matters not address in the Companies Act or the company's MOI, unless such MOI provides otherwise. This section also sets out the relevant procedures to be followed. In the case of clause 5 we have chosen to deviate from the default position. </w:t>
      </w:r>
    </w:p>
  </w:footnote>
  <w:footnote w:id="13">
    <w:p w14:paraId="1A12B064" w14:textId="1F2DDE6B" w:rsidR="008D6950" w:rsidRPr="008D6950" w:rsidRDefault="008D6950" w:rsidP="002A7E3B">
      <w:pPr>
        <w:pStyle w:val="DAFN"/>
        <w:spacing w:after="0"/>
      </w:pPr>
      <w:r>
        <w:rPr>
          <w:rStyle w:val="FootnoteReference"/>
        </w:rPr>
        <w:footnoteRef/>
      </w:r>
      <w:r>
        <w:t xml:space="preserve"> Typically VC backed companies require to be audited. However, if that is not the case, then alternative language is</w:t>
      </w:r>
      <w:r w:rsidRPr="008D6950">
        <w:t>: The Company does not elect in terms of section 30(2)(b)(ii), that the annual Financial Statements in respect of any financial year of the Company must audited or reviewed.]</w:t>
      </w:r>
    </w:p>
  </w:footnote>
  <w:footnote w:id="14">
    <w:p w14:paraId="4044146C" w14:textId="1A60B7CD" w:rsidR="00DB6D73" w:rsidRPr="001306ED" w:rsidRDefault="00DB6D73" w:rsidP="001306ED">
      <w:pPr>
        <w:pStyle w:val="FootnoteText"/>
        <w:spacing w:after="0" w:line="240" w:lineRule="auto"/>
        <w:rPr>
          <w:lang w:val="en-ZA"/>
        </w:rPr>
      </w:pPr>
      <w:r w:rsidRPr="001306ED">
        <w:rPr>
          <w:rFonts w:cs="Arial"/>
          <w:sz w:val="16"/>
          <w:szCs w:val="16"/>
          <w:lang w:val="en-US"/>
        </w:rPr>
        <w:footnoteRef/>
      </w:r>
      <w:r w:rsidRPr="001306ED">
        <w:rPr>
          <w:rFonts w:cs="Arial"/>
          <w:sz w:val="16"/>
          <w:szCs w:val="16"/>
          <w:lang w:val="en-US"/>
        </w:rPr>
        <w:t xml:space="preserve"> </w:t>
      </w:r>
      <w:r w:rsidR="00294048">
        <w:rPr>
          <w:rFonts w:cs="Arial"/>
          <w:sz w:val="16"/>
          <w:szCs w:val="16"/>
          <w:lang w:val="en-US"/>
        </w:rPr>
        <w:t xml:space="preserve">Regulation 27(1)(d) of the Companies Act allows South African private companies to choose IFRS for SMEs as reporting standard. </w:t>
      </w:r>
      <w:r w:rsidRPr="001306ED">
        <w:rPr>
          <w:rFonts w:cs="Arial"/>
          <w:sz w:val="16"/>
          <w:szCs w:val="16"/>
          <w:lang w:val="en-US"/>
        </w:rPr>
        <w:t>In most cases the IFRS for SMEs reporting standard</w:t>
      </w:r>
      <w:r w:rsidR="00294048">
        <w:rPr>
          <w:rFonts w:cs="Arial"/>
          <w:sz w:val="16"/>
          <w:szCs w:val="16"/>
          <w:lang w:val="en-US"/>
        </w:rPr>
        <w:t xml:space="preserve"> </w:t>
      </w:r>
      <w:r w:rsidRPr="001306ED">
        <w:rPr>
          <w:rFonts w:cs="Arial"/>
          <w:sz w:val="16"/>
          <w:szCs w:val="16"/>
          <w:lang w:val="en-US"/>
        </w:rPr>
        <w:t>is slightly more appropriate for early</w:t>
      </w:r>
      <w:r w:rsidR="00294048">
        <w:rPr>
          <w:rFonts w:cs="Arial"/>
          <w:sz w:val="16"/>
          <w:szCs w:val="16"/>
          <w:lang w:val="en-US"/>
        </w:rPr>
        <w:t>-</w:t>
      </w:r>
      <w:r w:rsidRPr="001306ED">
        <w:rPr>
          <w:rFonts w:cs="Arial"/>
          <w:sz w:val="16"/>
          <w:szCs w:val="16"/>
          <w:lang w:val="en-US"/>
        </w:rPr>
        <w:t>stage companies</w:t>
      </w:r>
      <w:r w:rsidR="00294048">
        <w:rPr>
          <w:rFonts w:cs="Arial"/>
          <w:sz w:val="16"/>
          <w:szCs w:val="16"/>
          <w:lang w:val="en-US"/>
        </w:rPr>
        <w:t xml:space="preserve"> as it</w:t>
      </w:r>
      <w:r w:rsidRPr="001306ED">
        <w:rPr>
          <w:rFonts w:cs="Arial"/>
          <w:sz w:val="16"/>
          <w:szCs w:val="16"/>
          <w:lang w:val="en-US"/>
        </w:rPr>
        <w:t xml:space="preserve"> is a more </w:t>
      </w:r>
      <w:r w:rsidR="00294048" w:rsidRPr="001306ED">
        <w:rPr>
          <w:rFonts w:cs="Arial"/>
          <w:sz w:val="16"/>
          <w:szCs w:val="16"/>
          <w:lang w:val="en-US"/>
        </w:rPr>
        <w:t>start-up friendly and cost-effective reporting standard than conventional IFRS.</w:t>
      </w:r>
      <w:r w:rsidR="00294048">
        <w:rPr>
          <w:rFonts w:cs="Arial"/>
          <w:sz w:val="16"/>
          <w:szCs w:val="16"/>
          <w:lang w:val="en-US"/>
        </w:rPr>
        <w:t xml:space="preserve"> </w:t>
      </w:r>
    </w:p>
  </w:footnote>
  <w:footnote w:id="15">
    <w:p w14:paraId="631AE368" w14:textId="77777777" w:rsidR="0036201D" w:rsidRPr="00AD1F75" w:rsidRDefault="0036201D" w:rsidP="0036201D">
      <w:pPr>
        <w:pStyle w:val="FootnoteText"/>
        <w:spacing w:after="0" w:line="240" w:lineRule="auto"/>
        <w:rPr>
          <w:rFonts w:cs="Arial"/>
          <w:sz w:val="16"/>
          <w:szCs w:val="16"/>
          <w:lang w:val="en-ZA"/>
        </w:rPr>
      </w:pPr>
      <w:r w:rsidRPr="00AD1F75">
        <w:rPr>
          <w:rStyle w:val="FootnoteReference"/>
          <w:rFonts w:cs="Arial"/>
          <w:sz w:val="16"/>
          <w:szCs w:val="16"/>
        </w:rPr>
        <w:footnoteRef/>
      </w:r>
      <w:r w:rsidRPr="00AD1F75">
        <w:rPr>
          <w:rFonts w:cs="Arial"/>
          <w:sz w:val="16"/>
          <w:szCs w:val="16"/>
        </w:rPr>
        <w:t xml:space="preserve"> </w:t>
      </w:r>
      <w:r w:rsidRPr="00AD1F75">
        <w:rPr>
          <w:rFonts w:cs="Arial"/>
          <w:sz w:val="16"/>
          <w:szCs w:val="16"/>
          <w:lang w:val="en-ZA"/>
        </w:rPr>
        <w:t>The company’s authorised Ordinary Shares must be sufficient to cover all issued Ordinary Shares, plus all Ordinary Shares that could foreseeably be issued pursuant to:</w:t>
      </w:r>
    </w:p>
    <w:p w14:paraId="1992F229" w14:textId="4BB59CA1" w:rsidR="0036201D" w:rsidRPr="00AD1F75" w:rsidRDefault="0036201D" w:rsidP="0036201D">
      <w:pPr>
        <w:pStyle w:val="FootnoteText"/>
        <w:numPr>
          <w:ilvl w:val="0"/>
          <w:numId w:val="113"/>
        </w:numPr>
        <w:spacing w:after="0" w:line="240" w:lineRule="auto"/>
        <w:rPr>
          <w:rFonts w:cs="Arial"/>
          <w:sz w:val="16"/>
          <w:szCs w:val="16"/>
          <w:lang w:val="en-ZA"/>
        </w:rPr>
      </w:pPr>
      <w:r w:rsidRPr="00AD1F75">
        <w:rPr>
          <w:rFonts w:cs="Arial"/>
          <w:sz w:val="16"/>
          <w:szCs w:val="16"/>
          <w:lang w:val="en-ZA"/>
        </w:rPr>
        <w:t xml:space="preserve">the conversion of any designated </w:t>
      </w:r>
      <w:r w:rsidR="00DB6D73">
        <w:rPr>
          <w:rFonts w:cs="Arial"/>
          <w:sz w:val="16"/>
          <w:szCs w:val="16"/>
          <w:lang w:val="en-ZA"/>
        </w:rPr>
        <w:t>Preference Shares</w:t>
      </w:r>
      <w:r w:rsidRPr="00AD1F75">
        <w:rPr>
          <w:rFonts w:cs="Arial"/>
          <w:sz w:val="16"/>
          <w:szCs w:val="16"/>
          <w:lang w:val="en-ZA"/>
        </w:rPr>
        <w:t>, including any accrued dividends;</w:t>
      </w:r>
    </w:p>
    <w:p w14:paraId="3560DF85" w14:textId="77777777" w:rsidR="0036201D" w:rsidRPr="00AD1F75" w:rsidRDefault="0036201D" w:rsidP="0036201D">
      <w:pPr>
        <w:pStyle w:val="FootnoteText"/>
        <w:numPr>
          <w:ilvl w:val="0"/>
          <w:numId w:val="113"/>
        </w:numPr>
        <w:spacing w:after="0" w:line="240" w:lineRule="auto"/>
        <w:rPr>
          <w:rFonts w:cs="Arial"/>
          <w:sz w:val="16"/>
          <w:szCs w:val="16"/>
          <w:lang w:val="en-ZA"/>
        </w:rPr>
      </w:pPr>
      <w:r w:rsidRPr="00AD1F75">
        <w:rPr>
          <w:rFonts w:cs="Arial"/>
          <w:sz w:val="16"/>
          <w:szCs w:val="16"/>
          <w:lang w:val="en-ZA"/>
        </w:rPr>
        <w:t>the exercise of outstanding options and the allocation of any remaining shares available in the share scheme pool;</w:t>
      </w:r>
    </w:p>
    <w:p w14:paraId="606BB5E0" w14:textId="77777777" w:rsidR="0036201D" w:rsidRPr="00AD1F75" w:rsidRDefault="0036201D" w:rsidP="0036201D">
      <w:pPr>
        <w:pStyle w:val="FootnoteText"/>
        <w:numPr>
          <w:ilvl w:val="0"/>
          <w:numId w:val="113"/>
        </w:numPr>
        <w:spacing w:after="0" w:line="240" w:lineRule="auto"/>
        <w:rPr>
          <w:rFonts w:cs="Arial"/>
          <w:sz w:val="16"/>
          <w:szCs w:val="16"/>
          <w:lang w:val="en-ZA"/>
        </w:rPr>
      </w:pPr>
      <w:r w:rsidRPr="00AD1F75">
        <w:rPr>
          <w:rFonts w:cs="Arial"/>
          <w:sz w:val="16"/>
          <w:szCs w:val="16"/>
          <w:lang w:val="en-ZA"/>
        </w:rPr>
        <w:t>the exercise or conversion of all other securities convertible into Ordinary Shares, such as warrants or convertible notes; and</w:t>
      </w:r>
    </w:p>
    <w:p w14:paraId="1F2D33EF" w14:textId="77777777" w:rsidR="0036201D" w:rsidRPr="00AD1F75" w:rsidRDefault="0036201D" w:rsidP="0036201D">
      <w:pPr>
        <w:pStyle w:val="FootnoteText"/>
        <w:numPr>
          <w:ilvl w:val="0"/>
          <w:numId w:val="113"/>
        </w:numPr>
        <w:spacing w:after="0" w:line="240" w:lineRule="auto"/>
        <w:rPr>
          <w:rFonts w:cs="Arial"/>
          <w:sz w:val="16"/>
          <w:szCs w:val="16"/>
          <w:lang w:val="en-ZA"/>
        </w:rPr>
      </w:pPr>
      <w:r w:rsidRPr="00AD1F75">
        <w:rPr>
          <w:rFonts w:cs="Arial"/>
          <w:sz w:val="16"/>
          <w:szCs w:val="16"/>
          <w:lang w:val="en-ZA"/>
        </w:rPr>
        <w:t>any compounding dividends payable in shares, if applicable.</w:t>
      </w:r>
    </w:p>
    <w:p w14:paraId="184E79CC" w14:textId="1D56D149" w:rsidR="0036201D" w:rsidRPr="00AD1F75" w:rsidRDefault="0036201D" w:rsidP="0036201D">
      <w:pPr>
        <w:pStyle w:val="FootnoteText"/>
        <w:spacing w:after="0" w:line="240" w:lineRule="auto"/>
        <w:rPr>
          <w:rFonts w:cs="Arial"/>
          <w:sz w:val="16"/>
          <w:szCs w:val="16"/>
          <w:lang w:val="en-ZA"/>
        </w:rPr>
      </w:pPr>
      <w:r w:rsidRPr="00AD1F75">
        <w:rPr>
          <w:rFonts w:cs="Arial"/>
          <w:sz w:val="16"/>
          <w:szCs w:val="16"/>
          <w:lang w:val="en-ZA"/>
        </w:rPr>
        <w:t xml:space="preserve">Consideration should also be given to authorising an additional buffer of Ordinary Shares to provide the Board with flexibility for future events, such as acquisitions or strategic financing transactions.    </w:t>
      </w:r>
    </w:p>
    <w:p w14:paraId="44811EFA" w14:textId="15A35590" w:rsidR="0036201D" w:rsidRPr="00AD1F75" w:rsidRDefault="0036201D" w:rsidP="0036201D">
      <w:pPr>
        <w:pStyle w:val="FootnoteText"/>
        <w:spacing w:line="240" w:lineRule="auto"/>
        <w:rPr>
          <w:rFonts w:cs="Arial"/>
          <w:sz w:val="16"/>
          <w:szCs w:val="16"/>
          <w:lang w:val="en-US"/>
        </w:rPr>
      </w:pPr>
    </w:p>
  </w:footnote>
  <w:footnote w:id="16">
    <w:p w14:paraId="36197C74" w14:textId="77777777" w:rsidR="00A93561" w:rsidRPr="00BB70D5" w:rsidRDefault="00A93561" w:rsidP="00BB70D5">
      <w:pPr>
        <w:pStyle w:val="DAFG"/>
      </w:pPr>
      <w:r w:rsidRPr="00AD1F75">
        <w:rPr>
          <w:rStyle w:val="FootnoteReference"/>
        </w:rPr>
        <w:footnoteRef/>
      </w:r>
      <w:r w:rsidRPr="00AD1F75">
        <w:t xml:space="preserve"> </w:t>
      </w:r>
      <w:r w:rsidRPr="00BB70D5">
        <w:rPr>
          <w:b/>
          <w:bCs/>
        </w:rPr>
        <w:t>Alterable provision:</w:t>
      </w:r>
      <w:r w:rsidRPr="00BB70D5">
        <w:t xml:space="preserve"> </w:t>
      </w:r>
      <w:r w:rsidRPr="00BB70D5">
        <w:rPr>
          <w:b/>
          <w:bCs/>
          <w:i/>
          <w:iCs/>
        </w:rPr>
        <w:t>Section 38(1):</w:t>
      </w:r>
      <w:r w:rsidRPr="00BB70D5">
        <w:rPr>
          <w:b/>
          <w:bCs/>
        </w:rPr>
        <w:t xml:space="preserve"> </w:t>
      </w:r>
      <w:r w:rsidRPr="00BB70D5">
        <w:t>the board of directors of a company may resolve to issue shares of the company at any time, but only within the classes, and to the extent, that the shares have been authorised by or in terms of the company’s MOI, in accordance with section 36. Our standard approach is therefore to deviate from the default position in the Companies Act by requiring the issuing of shares from the authorised share capital to be approved by the shareholders by special resolution. This can, however, be changed to remove this restriction on the board and allow the board to issue authorised shares without shareholder approval or with the approval by shareholders by ordinary resolution.</w:t>
      </w:r>
    </w:p>
  </w:footnote>
  <w:footnote w:id="17">
    <w:p w14:paraId="2D2C88EC" w14:textId="77777777" w:rsidR="00A93561" w:rsidRPr="00BB70D5" w:rsidRDefault="00A93561" w:rsidP="00BB70D5">
      <w:pPr>
        <w:pStyle w:val="DAFG"/>
      </w:pPr>
      <w:r w:rsidRPr="00BB70D5">
        <w:rPr>
          <w:rStyle w:val="FootnoteReference"/>
        </w:rPr>
        <w:footnoteRef/>
      </w:r>
      <w:r w:rsidRPr="00BB70D5">
        <w:t xml:space="preserve"> </w:t>
      </w:r>
      <w:r w:rsidRPr="00BB70D5">
        <w:rPr>
          <w:b/>
          <w:bCs/>
        </w:rPr>
        <w:t xml:space="preserve">Unalterable provisions: </w:t>
      </w:r>
      <w:r w:rsidRPr="00BB70D5">
        <w:rPr>
          <w:b/>
          <w:bCs/>
          <w:i/>
          <w:iCs/>
        </w:rPr>
        <w:t>Section 41(1):</w:t>
      </w:r>
      <w:r w:rsidRPr="00BB70D5">
        <w:t xml:space="preserve"> an issue of securities or options for securities to a director, future director, prescribed officer, or future prescribed officer of the company, a person related or inter-related to the company or to a director or prescribed officer of the company, or to a nominee of any such persons must be approved by the shareholders by special resolution. </w:t>
      </w:r>
      <w:r w:rsidRPr="00BB70D5">
        <w:rPr>
          <w:b/>
          <w:bCs/>
          <w:i/>
          <w:iCs/>
        </w:rPr>
        <w:t>Section 41(3):</w:t>
      </w:r>
      <w:r w:rsidRPr="00BB70D5">
        <w:t xml:space="preserve"> an issue of shares, securities convertible into shares, or rights exercisable for shares in a transaction, or a series of integrated transactions, requires the approval of the shareholders by special resolution if the voting power of the class of shares that are issued or issuable as a result of the transaction or series of integrated transactions will be equal to or exceed 30% of the voting power of all the shares of that class held by shareholders immediately before the transaction or series of transactions.</w:t>
      </w:r>
    </w:p>
  </w:footnote>
  <w:footnote w:id="18">
    <w:p w14:paraId="73975D0C" w14:textId="77777777" w:rsidR="00A93561" w:rsidRPr="00AD1F75" w:rsidRDefault="00A93561" w:rsidP="00BB70D5">
      <w:pPr>
        <w:pStyle w:val="DAFG"/>
      </w:pPr>
      <w:r w:rsidRPr="00BB70D5">
        <w:rPr>
          <w:rStyle w:val="FootnoteReference"/>
        </w:rPr>
        <w:footnoteRef/>
      </w:r>
      <w:r w:rsidRPr="00BB70D5">
        <w:t xml:space="preserve"> </w:t>
      </w:r>
      <w:r w:rsidRPr="00BB70D5">
        <w:rPr>
          <w:b/>
          <w:bCs/>
        </w:rPr>
        <w:t>Alterable provision:</w:t>
      </w:r>
      <w:r w:rsidRPr="00BB70D5">
        <w:t xml:space="preserve"> </w:t>
      </w:r>
      <w:r w:rsidRPr="00BB70D5">
        <w:rPr>
          <w:b/>
          <w:bCs/>
          <w:i/>
          <w:iCs/>
        </w:rPr>
        <w:t>Sections 43(2)(a) and (3):</w:t>
      </w:r>
      <w:r w:rsidRPr="00BB70D5">
        <w:t xml:space="preserve"> unless the MOI provides otherwise, the board of directors of the company may authorise the issue of secured and unsecured debt instruments, which may have special privileges regarding attending and voting at general meetings, the appointment of directors and the allotment of securities. This means that our standard MOI changes the alterable position in the Companies Act so as to limit the board’s powers in this regard by requiring a special resolution from shareholders. This may be changed back to the default position if your client instructs you to do so, but it is preferred to have this extra layer of protection for shareholders by requiring that such instruments have to be approved by the shareholders by special resolution. Issuing of debt instruments may have a material impact on the company’s liabilities (and therefore the shareholders’ position).</w:t>
      </w:r>
    </w:p>
  </w:footnote>
  <w:footnote w:id="19">
    <w:p w14:paraId="57496D04" w14:textId="77777777" w:rsidR="00E46EE6" w:rsidRPr="00BB70D5" w:rsidRDefault="00E46EE6" w:rsidP="00BB70D5">
      <w:pPr>
        <w:pStyle w:val="DAFG"/>
      </w:pPr>
      <w:r w:rsidRPr="00AD1F75">
        <w:rPr>
          <w:rStyle w:val="FootnoteReference"/>
        </w:rPr>
        <w:footnoteRef/>
      </w:r>
      <w:r w:rsidRPr="00AD1F75">
        <w:t xml:space="preserve"> </w:t>
      </w:r>
      <w:r w:rsidRPr="00BB70D5">
        <w:rPr>
          <w:b/>
          <w:bCs/>
        </w:rPr>
        <w:t xml:space="preserve">Alterable provision: </w:t>
      </w:r>
      <w:r w:rsidRPr="00BB70D5">
        <w:rPr>
          <w:b/>
          <w:bCs/>
          <w:i/>
          <w:iCs/>
        </w:rPr>
        <w:t>Section 47(1):</w:t>
      </w:r>
      <w:r w:rsidRPr="00BB70D5">
        <w:t xml:space="preserve"> the board of directors may approve the issue of authorised shares, as capitalisation shares, unless the MOI provides otherwise. You can include a clause to restrict the issuing of capitalisation shares (shares that are not paid for, but issued to existing shareholders to get to a desired shareholding structure) if you have good reason to do so. This generally provides flexibility to the company when it comes to issuing shares in the company. </w:t>
      </w:r>
      <w:r w:rsidRPr="00BB70D5">
        <w:rPr>
          <w:b/>
          <w:bCs/>
        </w:rPr>
        <w:t>For example:</w:t>
      </w:r>
      <w:r w:rsidRPr="00BB70D5">
        <w:t xml:space="preserve"> a company has 100 issued shares, of which 4 shareholders hold 25 shares each. The company intends to issue additional shares to one shareholder (who is funding the company) to bring him/her/it to 40% while the other shareholders dilute to 20% each. If capitalisation shares are allowed, the company can simply issue capitalisation shares to the shareholders prior to the issue of shares to the funding shareholder. If the company can't issue capitalisation shares, it would be impossible to get to an exact 40/20/20/20 split, given that a company may not issue fractional shares. The more practical alternative would be for the company to issue additional capitalisation shares to the other shareholders (together with the issue of shares to the funding shareholder) to bring the total issued shares to 200. This means that the funding shareholder will subscribe for 55 additional shares (to get to 80/200) and the other shareholders will each subscribe for 15 capitalisation shares (to get to 40/200).</w:t>
      </w:r>
    </w:p>
  </w:footnote>
  <w:footnote w:id="20">
    <w:p w14:paraId="4589DD69" w14:textId="4DF383E5" w:rsidR="00487344" w:rsidRPr="00AD1F75" w:rsidRDefault="00487344" w:rsidP="00BB70D5">
      <w:pPr>
        <w:pStyle w:val="DAFG"/>
      </w:pPr>
      <w:r w:rsidRPr="00BB70D5">
        <w:rPr>
          <w:rStyle w:val="FootnoteReference"/>
        </w:rPr>
        <w:footnoteRef/>
      </w:r>
      <w:r w:rsidRPr="00BB70D5">
        <w:t xml:space="preserve"> </w:t>
      </w:r>
      <w:r w:rsidRPr="00BB70D5">
        <w:rPr>
          <w:b/>
          <w:bCs/>
        </w:rPr>
        <w:t>Alterable provision:</w:t>
      </w:r>
      <w:r w:rsidRPr="00BB70D5">
        <w:t xml:space="preserve"> </w:t>
      </w:r>
      <w:r w:rsidRPr="00BB70D5">
        <w:rPr>
          <w:rFonts w:eastAsia="Arial"/>
          <w:b/>
          <w:bCs/>
          <w:i/>
          <w:iCs/>
        </w:rPr>
        <w:t>Sections 39(2) and (3):</w:t>
      </w:r>
      <w:r w:rsidRPr="00BB70D5">
        <w:t xml:space="preserve"> if a private company issues shares, the current</w:t>
      </w:r>
      <w:r w:rsidR="007E5EF0" w:rsidRPr="00BB70D5">
        <w:t xml:space="preserve"> Holder</w:t>
      </w:r>
      <w:r w:rsidRPr="00BB70D5">
        <w:t xml:space="preserve">s of shares have a right, before any other person, to subscribe for a </w:t>
      </w:r>
      <w:r w:rsidRPr="00BB70D5">
        <w:rPr>
          <w:i/>
          <w:iCs/>
        </w:rPr>
        <w:t>pro rata</w:t>
      </w:r>
      <w:r w:rsidRPr="00BB70D5">
        <w:t xml:space="preserve"> number of such shares except, if this right is limited by the MOI.</w:t>
      </w:r>
    </w:p>
  </w:footnote>
  <w:footnote w:id="21">
    <w:p w14:paraId="736D3968" w14:textId="77777777" w:rsidR="00A250D4" w:rsidRPr="00BB70D5" w:rsidRDefault="00A250D4" w:rsidP="00BB70D5">
      <w:pPr>
        <w:pStyle w:val="DAFG"/>
      </w:pPr>
      <w:r w:rsidRPr="00AD1F75">
        <w:rPr>
          <w:rStyle w:val="FootnoteReference"/>
        </w:rPr>
        <w:footnoteRef/>
      </w:r>
      <w:r w:rsidRPr="00AD1F75">
        <w:t xml:space="preserve"> </w:t>
      </w:r>
      <w:r w:rsidRPr="00BB70D5">
        <w:rPr>
          <w:b/>
          <w:bCs/>
        </w:rPr>
        <w:t>Alterable provision:</w:t>
      </w:r>
      <w:r w:rsidRPr="00BB70D5">
        <w:t xml:space="preserve"> </w:t>
      </w:r>
      <w:r w:rsidRPr="00BB70D5">
        <w:rPr>
          <w:b/>
          <w:bCs/>
          <w:i/>
          <w:iCs/>
        </w:rPr>
        <w:t>Section 39(4)(b):</w:t>
      </w:r>
      <w:r w:rsidRPr="00BB70D5">
        <w:t xml:space="preserve"> except to the extent that a private or personal liability company's MOI provides otherwise, if a shareholder does not subscribe for the shares within a reasonable time, the shares may be offered to other persons to the extent permitted by the MOI. This means that the MOI can determine that shares may not be issued to third parties at all for a specified period of time or other deviations from the default position, but this would normally not be done in a simple standard MOI.</w:t>
      </w:r>
    </w:p>
    <w:p w14:paraId="40402F56" w14:textId="77777777" w:rsidR="00A250D4" w:rsidRPr="00BB70D5" w:rsidRDefault="00A250D4" w:rsidP="00BB70D5">
      <w:pPr>
        <w:pStyle w:val="DAFG"/>
      </w:pPr>
    </w:p>
  </w:footnote>
  <w:footnote w:id="22">
    <w:p w14:paraId="0895D531" w14:textId="77777777" w:rsidR="00487344" w:rsidRPr="00AD1F75" w:rsidRDefault="00487344" w:rsidP="00BB70D5">
      <w:pPr>
        <w:pStyle w:val="DAFG"/>
        <w:rPr>
          <w:b/>
          <w:bCs/>
        </w:rPr>
      </w:pPr>
      <w:r w:rsidRPr="00BB70D5">
        <w:rPr>
          <w:rStyle w:val="FootnoteReference"/>
          <w:b/>
          <w:bCs/>
        </w:rPr>
        <w:footnoteRef/>
      </w:r>
      <w:r w:rsidRPr="00BB70D5">
        <w:rPr>
          <w:b/>
          <w:bCs/>
        </w:rPr>
        <w:t xml:space="preserve"> ►►►RED FLAG►►►: </w:t>
      </w:r>
      <w:r w:rsidRPr="00BB70D5">
        <w:t>If the company’s shareholders' agreement already deals with pre-emptions and transfers of shares be careful when including it in the MOI. Ideally it should only be dealt with in either the MOI or the shareholders’ agreement – if, however, it is dealt with in both documents, the two clauses cannot be conflicting, as the MOI would prevail to the extent of any inconsistency.</w:t>
      </w:r>
    </w:p>
  </w:footnote>
  <w:footnote w:id="23">
    <w:p w14:paraId="76C99C05" w14:textId="77777777" w:rsidR="00633773" w:rsidRPr="00BB70D5" w:rsidRDefault="00633773" w:rsidP="00633773">
      <w:pPr>
        <w:pStyle w:val="DAFG"/>
      </w:pPr>
      <w:r w:rsidRPr="00AD1F75">
        <w:rPr>
          <w:rStyle w:val="FootnoteReference"/>
        </w:rPr>
        <w:footnoteRef/>
      </w:r>
      <w:r w:rsidRPr="00AD1F75">
        <w:t xml:space="preserve"> </w:t>
      </w:r>
      <w:r w:rsidRPr="00BB70D5">
        <w:rPr>
          <w:rStyle w:val="cf21"/>
          <w:rFonts w:ascii="Arial" w:hAnsi="Arial" w:cs="Arial"/>
          <w:sz w:val="16"/>
          <w:szCs w:val="16"/>
        </w:rPr>
        <w:t xml:space="preserve">Note that the restriction on transferability referred to in clause 3.3 relates to </w:t>
      </w:r>
      <w:r>
        <w:rPr>
          <w:rStyle w:val="cf21"/>
          <w:rFonts w:ascii="Arial" w:hAnsi="Arial" w:cs="Arial"/>
          <w:sz w:val="16"/>
          <w:szCs w:val="16"/>
        </w:rPr>
        <w:t>"</w:t>
      </w:r>
      <w:r w:rsidRPr="00BB70D5">
        <w:rPr>
          <w:rStyle w:val="cf21"/>
          <w:rFonts w:ascii="Arial" w:hAnsi="Arial" w:cs="Arial"/>
          <w:sz w:val="16"/>
          <w:szCs w:val="16"/>
        </w:rPr>
        <w:t>Securities</w:t>
      </w:r>
      <w:r>
        <w:rPr>
          <w:rStyle w:val="cf21"/>
          <w:rFonts w:ascii="Arial" w:hAnsi="Arial" w:cs="Arial"/>
          <w:sz w:val="16"/>
          <w:szCs w:val="16"/>
        </w:rPr>
        <w:t>"</w:t>
      </w:r>
      <w:r w:rsidRPr="00BB70D5">
        <w:rPr>
          <w:rStyle w:val="cf21"/>
          <w:rFonts w:ascii="Arial" w:hAnsi="Arial" w:cs="Arial"/>
          <w:sz w:val="16"/>
          <w:szCs w:val="16"/>
        </w:rPr>
        <w:t xml:space="preserve">, and not just </w:t>
      </w:r>
      <w:r>
        <w:rPr>
          <w:rStyle w:val="cf21"/>
          <w:rFonts w:ascii="Arial" w:hAnsi="Arial" w:cs="Arial"/>
          <w:sz w:val="16"/>
          <w:szCs w:val="16"/>
        </w:rPr>
        <w:t>"</w:t>
      </w:r>
      <w:r w:rsidRPr="00BB70D5">
        <w:rPr>
          <w:rStyle w:val="cf21"/>
          <w:rFonts w:ascii="Arial" w:hAnsi="Arial" w:cs="Arial"/>
          <w:sz w:val="16"/>
          <w:szCs w:val="16"/>
        </w:rPr>
        <w:t>Shares</w:t>
      </w:r>
      <w:r>
        <w:rPr>
          <w:rStyle w:val="cf21"/>
          <w:rFonts w:ascii="Arial" w:hAnsi="Arial" w:cs="Arial"/>
          <w:sz w:val="16"/>
          <w:szCs w:val="16"/>
        </w:rPr>
        <w:t>"</w:t>
      </w:r>
      <w:r w:rsidRPr="00BB70D5">
        <w:rPr>
          <w:rStyle w:val="cf21"/>
          <w:rFonts w:ascii="Arial" w:hAnsi="Arial" w:cs="Arial"/>
          <w:sz w:val="16"/>
          <w:szCs w:val="16"/>
        </w:rPr>
        <w:t>.</w:t>
      </w:r>
      <w:r w:rsidRPr="00BB70D5">
        <w:t xml:space="preserve"> </w:t>
      </w:r>
      <w:r w:rsidRPr="00BB70D5">
        <w:rPr>
          <w:rStyle w:val="cf21"/>
          <w:rFonts w:ascii="Arial" w:hAnsi="Arial" w:cs="Arial"/>
          <w:sz w:val="16"/>
          <w:szCs w:val="16"/>
        </w:rPr>
        <w:t xml:space="preserve">The above provisions of this clause impose restrictions on the transferability of </w:t>
      </w:r>
      <w:r>
        <w:rPr>
          <w:rStyle w:val="cf21"/>
          <w:rFonts w:ascii="Arial" w:hAnsi="Arial" w:cs="Arial"/>
          <w:sz w:val="16"/>
          <w:szCs w:val="16"/>
        </w:rPr>
        <w:t>"</w:t>
      </w:r>
      <w:r w:rsidRPr="00BB70D5">
        <w:rPr>
          <w:rStyle w:val="cf21"/>
          <w:rFonts w:ascii="Arial" w:hAnsi="Arial" w:cs="Arial"/>
          <w:sz w:val="16"/>
          <w:szCs w:val="16"/>
        </w:rPr>
        <w:t>Shares</w:t>
      </w:r>
      <w:r>
        <w:rPr>
          <w:rStyle w:val="cf21"/>
          <w:rFonts w:ascii="Arial" w:hAnsi="Arial" w:cs="Arial"/>
          <w:sz w:val="16"/>
          <w:szCs w:val="16"/>
        </w:rPr>
        <w:t>"</w:t>
      </w:r>
      <w:r w:rsidRPr="00BB70D5">
        <w:rPr>
          <w:rStyle w:val="cf21"/>
          <w:rFonts w:ascii="Arial" w:hAnsi="Arial" w:cs="Arial"/>
          <w:sz w:val="16"/>
          <w:szCs w:val="16"/>
        </w:rPr>
        <w:t xml:space="preserve">. This clause is therefore necessary in order to impose a restriction on the transferability of </w:t>
      </w:r>
      <w:r>
        <w:rPr>
          <w:rStyle w:val="cf21"/>
          <w:rFonts w:ascii="Arial" w:hAnsi="Arial" w:cs="Arial"/>
          <w:sz w:val="16"/>
          <w:szCs w:val="16"/>
        </w:rPr>
        <w:t>"</w:t>
      </w:r>
      <w:r w:rsidRPr="00BB70D5">
        <w:rPr>
          <w:rStyle w:val="cf21"/>
          <w:rFonts w:ascii="Arial" w:hAnsi="Arial" w:cs="Arial"/>
          <w:sz w:val="16"/>
          <w:szCs w:val="16"/>
        </w:rPr>
        <w:t>Securities</w:t>
      </w:r>
      <w:r>
        <w:rPr>
          <w:rStyle w:val="cf21"/>
          <w:rFonts w:ascii="Arial" w:hAnsi="Arial" w:cs="Arial"/>
          <w:sz w:val="16"/>
          <w:szCs w:val="16"/>
        </w:rPr>
        <w:t>"</w:t>
      </w:r>
      <w:r w:rsidRPr="00BB70D5">
        <w:rPr>
          <w:rStyle w:val="cf21"/>
          <w:rFonts w:ascii="Arial" w:hAnsi="Arial" w:cs="Arial"/>
          <w:sz w:val="16"/>
          <w:szCs w:val="16"/>
        </w:rPr>
        <w:t xml:space="preserve"> other than </w:t>
      </w:r>
      <w:r>
        <w:rPr>
          <w:rStyle w:val="cf21"/>
          <w:rFonts w:ascii="Arial" w:hAnsi="Arial" w:cs="Arial"/>
          <w:sz w:val="16"/>
          <w:szCs w:val="16"/>
        </w:rPr>
        <w:t>"</w:t>
      </w:r>
      <w:r w:rsidRPr="00BB70D5">
        <w:rPr>
          <w:rStyle w:val="cf21"/>
          <w:rFonts w:ascii="Arial" w:hAnsi="Arial" w:cs="Arial"/>
          <w:sz w:val="16"/>
          <w:szCs w:val="16"/>
        </w:rPr>
        <w:t>Shares</w:t>
      </w:r>
      <w:r>
        <w:rPr>
          <w:rStyle w:val="cf21"/>
          <w:rFonts w:ascii="Arial" w:hAnsi="Arial" w:cs="Arial"/>
          <w:sz w:val="16"/>
          <w:szCs w:val="16"/>
        </w:rPr>
        <w:t>"</w:t>
      </w:r>
      <w:r w:rsidRPr="00BB70D5">
        <w:rPr>
          <w:rStyle w:val="cf21"/>
          <w:rFonts w:ascii="Arial" w:hAnsi="Arial" w:cs="Arial"/>
          <w:sz w:val="16"/>
          <w:szCs w:val="16"/>
        </w:rPr>
        <w:t>.</w:t>
      </w:r>
    </w:p>
  </w:footnote>
  <w:footnote w:id="24">
    <w:p w14:paraId="7C8695B2" w14:textId="48D35D55" w:rsidR="00487344" w:rsidRPr="00BB70D5" w:rsidRDefault="00487344" w:rsidP="00BB70D5">
      <w:pPr>
        <w:pStyle w:val="DAFG"/>
      </w:pPr>
      <w:r w:rsidRPr="00BB70D5">
        <w:rPr>
          <w:rStyle w:val="FootnoteReference"/>
        </w:rPr>
        <w:footnoteRef/>
      </w:r>
      <w:r w:rsidRPr="00BB70D5">
        <w:t xml:space="preserve"> </w:t>
      </w:r>
      <w:r w:rsidRPr="00BB70D5">
        <w:rPr>
          <w:b/>
          <w:bCs/>
        </w:rPr>
        <w:t>Alterable provision:</w:t>
      </w:r>
      <w:r w:rsidRPr="00BB70D5">
        <w:t xml:space="preserve"> </w:t>
      </w:r>
      <w:r w:rsidRPr="00BB70D5">
        <w:rPr>
          <w:b/>
          <w:bCs/>
          <w:i/>
          <w:iCs/>
        </w:rPr>
        <w:t>Section 49(2):</w:t>
      </w:r>
      <w:r w:rsidRPr="00BB70D5">
        <w:t xml:space="preserve"> allows for shares to be </w:t>
      </w:r>
      <w:r w:rsidR="006A005A">
        <w:t>"</w:t>
      </w:r>
      <w:r w:rsidRPr="00BB70D5">
        <w:t>certificated</w:t>
      </w:r>
      <w:r w:rsidR="006A005A">
        <w:t>"</w:t>
      </w:r>
      <w:r w:rsidRPr="00BB70D5">
        <w:t xml:space="preserve"> or </w:t>
      </w:r>
      <w:r w:rsidR="006A005A">
        <w:t>"</w:t>
      </w:r>
      <w:r w:rsidRPr="00BB70D5">
        <w:t>uncertificated</w:t>
      </w:r>
      <w:r w:rsidR="006A005A">
        <w:t>"</w:t>
      </w:r>
      <w:r w:rsidRPr="00BB70D5">
        <w:t xml:space="preserve">. We have therefore deviated from this position to require shares to be evidenced by certificates. You can, however, change this back to the default position to allow </w:t>
      </w:r>
      <w:r w:rsidR="006A005A">
        <w:t>"</w:t>
      </w:r>
      <w:r w:rsidRPr="00BB70D5">
        <w:t>uncertificated</w:t>
      </w:r>
      <w:r w:rsidR="006A005A">
        <w:t>"</w:t>
      </w:r>
      <w:r w:rsidRPr="00BB70D5">
        <w:t xml:space="preserve"> shares, but this would be very unusual in the case of a private company.</w:t>
      </w:r>
    </w:p>
  </w:footnote>
  <w:footnote w:id="25">
    <w:p w14:paraId="520CCE55" w14:textId="77777777" w:rsidR="00E731EB" w:rsidRPr="00BB70D5" w:rsidRDefault="00E731EB" w:rsidP="00BB70D5">
      <w:pPr>
        <w:pStyle w:val="DAFG"/>
      </w:pPr>
      <w:r w:rsidRPr="00BB70D5">
        <w:rPr>
          <w:rStyle w:val="FootnoteReference"/>
        </w:rPr>
        <w:footnoteRef/>
      </w:r>
      <w:r w:rsidRPr="00BB70D5">
        <w:t xml:space="preserve"> </w:t>
      </w:r>
      <w:r w:rsidRPr="00BB70D5">
        <w:rPr>
          <w:b/>
          <w:bCs/>
        </w:rPr>
        <w:t>Unalterable provisions:</w:t>
      </w:r>
      <w:r w:rsidRPr="00BB70D5">
        <w:t xml:space="preserve"> </w:t>
      </w:r>
      <w:r w:rsidRPr="00BB70D5">
        <w:rPr>
          <w:b/>
          <w:bCs/>
          <w:i/>
          <w:iCs/>
        </w:rPr>
        <w:t xml:space="preserve">Section 50(1): </w:t>
      </w:r>
      <w:r w:rsidRPr="00BB70D5">
        <w:t xml:space="preserve">every company must have a securities register. </w:t>
      </w:r>
      <w:r w:rsidRPr="00BB70D5">
        <w:rPr>
          <w:b/>
          <w:bCs/>
          <w:i/>
          <w:iCs/>
        </w:rPr>
        <w:t>Regulation 32(a) and (c):</w:t>
      </w:r>
      <w:r w:rsidRPr="00BB70D5">
        <w:t xml:space="preserve"> the securities register must comply with the minimum requirements as listed in this regulation.</w:t>
      </w:r>
    </w:p>
  </w:footnote>
  <w:footnote w:id="26">
    <w:p w14:paraId="1475532A" w14:textId="77777777" w:rsidR="00E731EB" w:rsidRPr="00AD1F75" w:rsidRDefault="00E731EB" w:rsidP="00BB70D5">
      <w:pPr>
        <w:pStyle w:val="DAFG"/>
      </w:pPr>
      <w:r w:rsidRPr="00BB70D5">
        <w:rPr>
          <w:rStyle w:val="FootnoteReference"/>
        </w:rPr>
        <w:footnoteRef/>
      </w:r>
      <w:r w:rsidRPr="00BB70D5">
        <w:t xml:space="preserve"> </w:t>
      </w:r>
      <w:r w:rsidRPr="00BB70D5">
        <w:rPr>
          <w:b/>
          <w:bCs/>
        </w:rPr>
        <w:t>Unalterable provisions:</w:t>
      </w:r>
      <w:r w:rsidRPr="00BB70D5">
        <w:t xml:space="preserve"> </w:t>
      </w:r>
      <w:r w:rsidRPr="00BB70D5">
        <w:rPr>
          <w:b/>
          <w:bCs/>
          <w:i/>
          <w:iCs/>
        </w:rPr>
        <w:t>Section 50(2)(b), regulation 32(1)(b) and 32(2):</w:t>
      </w:r>
      <w:r w:rsidRPr="00BB70D5">
        <w:t xml:space="preserve"> the securities register must comply with the minimum requirements as listed in this section and regulation.</w:t>
      </w:r>
    </w:p>
  </w:footnote>
  <w:footnote w:id="27">
    <w:p w14:paraId="089A3BD7" w14:textId="77777777" w:rsidR="00E731EB" w:rsidRPr="00BB70D5" w:rsidRDefault="00E731EB" w:rsidP="00351466">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Regulation 32(2):</w:t>
      </w:r>
      <w:r w:rsidRPr="00BB70D5">
        <w:rPr>
          <w:rFonts w:cs="Arial"/>
          <w:color w:val="A6A6A6" w:themeColor="background1" w:themeShade="A6"/>
          <w:sz w:val="16"/>
          <w:szCs w:val="16"/>
        </w:rPr>
        <w:t xml:space="preserve"> the securities register must comply with the minimum requirements as listed in this section and regulation.</w:t>
      </w:r>
    </w:p>
  </w:footnote>
  <w:footnote w:id="28">
    <w:p w14:paraId="5311D3E6" w14:textId="77777777" w:rsidR="00E731EB" w:rsidRPr="00AD1F75" w:rsidRDefault="00E731EB"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51(1): </w:t>
      </w:r>
      <w:r w:rsidRPr="00BB70D5">
        <w:rPr>
          <w:rFonts w:cs="Arial"/>
          <w:color w:val="A6A6A6" w:themeColor="background1" w:themeShade="A6"/>
          <w:sz w:val="16"/>
          <w:szCs w:val="16"/>
        </w:rPr>
        <w:t>deals with the registration and transfer of certificated securities and sets out the requirements for share certificates.</w:t>
      </w:r>
    </w:p>
  </w:footnote>
  <w:footnote w:id="29">
    <w:p w14:paraId="2D4A3393" w14:textId="77777777" w:rsidR="00E731EB" w:rsidRPr="00AD1F75" w:rsidRDefault="00E731EB" w:rsidP="00351466">
      <w:pPr>
        <w:pStyle w:val="FootnoteText"/>
        <w:keepNext/>
        <w:keepLines/>
        <w:spacing w:after="0" w:line="240" w:lineRule="auto"/>
        <w:rPr>
          <w:rFonts w:cs="Arial"/>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50(5): </w:t>
      </w:r>
      <w:r w:rsidRPr="00BB70D5">
        <w:rPr>
          <w:rFonts w:cs="Arial"/>
          <w:color w:val="A6A6A6" w:themeColor="background1" w:themeShade="A6"/>
          <w:sz w:val="16"/>
          <w:szCs w:val="16"/>
        </w:rPr>
        <w:t>unless all the shares of a company rank equally for all purposes, the company's shares, or each class of shares, and other securities, must be distinguished by an appropriate numbering system.</w:t>
      </w:r>
    </w:p>
  </w:footnote>
  <w:footnote w:id="30">
    <w:p w14:paraId="754C0CC6" w14:textId="77777777" w:rsidR="00E731EB" w:rsidRPr="00BB70D5" w:rsidRDefault="00E731EB" w:rsidP="00351466">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37(9): </w:t>
      </w:r>
      <w:r w:rsidRPr="00BB70D5">
        <w:rPr>
          <w:rFonts w:cs="Arial"/>
          <w:color w:val="A6A6A6" w:themeColor="background1" w:themeShade="A6"/>
          <w:sz w:val="16"/>
          <w:szCs w:val="16"/>
        </w:rPr>
        <w:t>provides when shareholders obtain rights (and cease to hold such rights) associated with shares.</w:t>
      </w:r>
    </w:p>
  </w:footnote>
  <w:footnote w:id="31">
    <w:p w14:paraId="5829FF71" w14:textId="77777777" w:rsidR="00E731EB" w:rsidRPr="00BB70D5" w:rsidRDefault="00E731EB"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44(2):</w:t>
      </w:r>
      <w:r w:rsidRPr="00BB70D5">
        <w:rPr>
          <w:rFonts w:cs="Arial"/>
          <w:color w:val="A6A6A6" w:themeColor="background1" w:themeShade="A6"/>
          <w:sz w:val="16"/>
          <w:szCs w:val="16"/>
        </w:rPr>
        <w:t xml:space="preserve"> except to the extent that the MOI provides otherwise, the board may authorise the company to grant financial assistance in the manner provided by that section.</w:t>
      </w:r>
    </w:p>
  </w:footnote>
  <w:footnote w:id="32">
    <w:p w14:paraId="6F42BCBC" w14:textId="77777777" w:rsidR="004762C6" w:rsidRPr="00AD1F75" w:rsidRDefault="004762C6"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44(3): </w:t>
      </w:r>
      <w:r w:rsidRPr="00BB70D5">
        <w:rPr>
          <w:rFonts w:cs="Arial"/>
          <w:color w:val="A6A6A6" w:themeColor="background1" w:themeShade="A6"/>
          <w:sz w:val="16"/>
          <w:szCs w:val="16"/>
        </w:rPr>
        <w:t>determines that these conditions must be complied with by the board of directors of the company before authorising financial assistance.</w:t>
      </w:r>
    </w:p>
  </w:footnote>
  <w:footnote w:id="33">
    <w:p w14:paraId="7B081184" w14:textId="77777777" w:rsidR="00A250D4" w:rsidRPr="00BB70D5" w:rsidRDefault="00A250D4" w:rsidP="00A250D4">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56(1):</w:t>
      </w:r>
      <w:r w:rsidRPr="00BB70D5">
        <w:rPr>
          <w:rFonts w:cs="Arial"/>
          <w:color w:val="A6A6A6" w:themeColor="background1" w:themeShade="A6"/>
          <w:sz w:val="16"/>
          <w:szCs w:val="16"/>
        </w:rPr>
        <w:t xml:space="preserve"> except to the extent that a company's MOI provides otherwise, the company's issued securities may be held by, and registered in the name of, one person for the beneficial interest of another person.</w:t>
      </w:r>
    </w:p>
  </w:footnote>
  <w:footnote w:id="34">
    <w:p w14:paraId="4E3D7F9F" w14:textId="77777777" w:rsidR="004762C6" w:rsidRPr="00BB70D5" w:rsidRDefault="004762C6"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27(1)</w:t>
      </w:r>
      <w:r w:rsidRPr="00BB70D5">
        <w:rPr>
          <w:rFonts w:ascii="Arial" w:hAnsi="Arial" w:cs="Arial"/>
          <w:color w:val="A6A6A6" w:themeColor="background1" w:themeShade="A6"/>
          <w:sz w:val="16"/>
          <w:szCs w:val="16"/>
        </w:rPr>
        <w:t>: a company’s financial year end will be as stated in its notice of incorporation.</w:t>
      </w:r>
    </w:p>
    <w:p w14:paraId="2855C510" w14:textId="77777777" w:rsidR="004762C6" w:rsidRPr="00BB70D5" w:rsidRDefault="004762C6" w:rsidP="00351466">
      <w:pPr>
        <w:keepNext/>
        <w:keepLines/>
        <w:spacing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 xml:space="preserve">►►►RED FLAG►►►: </w:t>
      </w:r>
      <w:r w:rsidRPr="00BB70D5">
        <w:rPr>
          <w:rFonts w:cs="Arial"/>
          <w:b/>
          <w:bCs/>
          <w:i/>
          <w:iCs/>
          <w:color w:val="A6A6A6" w:themeColor="background1" w:themeShade="A6"/>
          <w:sz w:val="16"/>
          <w:szCs w:val="16"/>
          <w:lang w:eastAsia="en-ZA"/>
        </w:rPr>
        <w:t>Section 27(4</w:t>
      </w:r>
      <w:r w:rsidRPr="00BB70D5">
        <w:rPr>
          <w:rFonts w:cs="Arial"/>
          <w:b/>
          <w:bCs/>
          <w:color w:val="A6A6A6" w:themeColor="background1" w:themeShade="A6"/>
          <w:sz w:val="16"/>
          <w:szCs w:val="16"/>
          <w:lang w:eastAsia="en-ZA"/>
        </w:rPr>
        <w:t>): The board of the company may change its financial year end at any time, by filing a notice of that change, but:</w:t>
      </w:r>
    </w:p>
    <w:p w14:paraId="7D75C988" w14:textId="77777777" w:rsidR="004762C6" w:rsidRPr="00BB70D5" w:rsidRDefault="004762C6" w:rsidP="00351466">
      <w:pPr>
        <w:pStyle w:val="ListParagraph"/>
        <w:keepNext/>
        <w:keepLines/>
        <w:numPr>
          <w:ilvl w:val="0"/>
          <w:numId w:val="76"/>
        </w:numPr>
        <w:spacing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it may not do so more than once during any financial year;</w:t>
      </w:r>
    </w:p>
    <w:p w14:paraId="2AC154A1" w14:textId="77777777" w:rsidR="004762C6" w:rsidRPr="00BB70D5" w:rsidRDefault="004762C6" w:rsidP="00351466">
      <w:pPr>
        <w:pStyle w:val="ListParagraph"/>
        <w:keepNext/>
        <w:keepLines/>
        <w:numPr>
          <w:ilvl w:val="0"/>
          <w:numId w:val="76"/>
        </w:numPr>
        <w:spacing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the newly established financial year end must be later than the date on which the notice is filed; and</w:t>
      </w:r>
    </w:p>
    <w:p w14:paraId="55D85F75" w14:textId="77777777" w:rsidR="004762C6" w:rsidRPr="00BB70D5" w:rsidRDefault="004762C6" w:rsidP="00351466">
      <w:pPr>
        <w:pStyle w:val="ListParagraph"/>
        <w:keepNext/>
        <w:keepLines/>
        <w:numPr>
          <w:ilvl w:val="0"/>
          <w:numId w:val="76"/>
        </w:numPr>
        <w:spacing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the date as changed may not result in a financial year ending more than 15 months after the end of the preceding financial year.</w:t>
      </w:r>
    </w:p>
    <w:p w14:paraId="68D2E378" w14:textId="77777777" w:rsidR="004762C6" w:rsidRPr="00BB70D5" w:rsidRDefault="004762C6" w:rsidP="00351466">
      <w:pPr>
        <w:keepNext/>
        <w:keepLines/>
        <w:spacing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You must therefore either repeat the company’s financial year end (in this clause) as per its notice of incorporation or make sure that any changes to that period were done in terms of section 27(4) of the Companies Act.</w:t>
      </w:r>
      <w:r w:rsidRPr="00BB70D5">
        <w:rPr>
          <w:rFonts w:cs="Arial"/>
          <w:color w:val="A6A6A6" w:themeColor="background1" w:themeShade="A6"/>
          <w:sz w:val="16"/>
          <w:szCs w:val="16"/>
          <w:lang w:eastAsia="en-ZA"/>
        </w:rPr>
        <w:t xml:space="preserve"> </w:t>
      </w:r>
      <w:r w:rsidRPr="00BB70D5">
        <w:rPr>
          <w:rFonts w:cs="Arial"/>
          <w:b/>
          <w:bCs/>
          <w:color w:val="A6A6A6" w:themeColor="background1" w:themeShade="A6"/>
          <w:sz w:val="16"/>
          <w:szCs w:val="16"/>
          <w:u w:val="single"/>
          <w:lang w:eastAsia="en-ZA"/>
        </w:rPr>
        <w:t>Importantly, you cannot merely amend the financial year end date by amending the MOI.</w:t>
      </w:r>
    </w:p>
  </w:footnote>
  <w:footnote w:id="35">
    <w:p w14:paraId="59C22BB1" w14:textId="77777777" w:rsidR="004762C6" w:rsidRPr="00BB70D5" w:rsidRDefault="004762C6" w:rsidP="00351466">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Unalterable provisions:</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Sections 28(1) and (2): </w:t>
      </w:r>
      <w:r w:rsidRPr="00BB70D5">
        <w:rPr>
          <w:rFonts w:cs="Arial"/>
          <w:color w:val="A6A6A6" w:themeColor="background1" w:themeShade="A6"/>
          <w:sz w:val="16"/>
          <w:szCs w:val="16"/>
        </w:rPr>
        <w:t>stipulates the accounting records that must be kept and the fact that they must be kept at, or be accessible from, the company's registered office.</w:t>
      </w:r>
    </w:p>
  </w:footnote>
  <w:footnote w:id="36">
    <w:p w14:paraId="3DC30B01" w14:textId="77777777" w:rsidR="004762C6" w:rsidRPr="00BB70D5" w:rsidRDefault="004762C6"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009F3213" w:rsidRPr="00BB70D5">
        <w:rPr>
          <w:rFonts w:cs="Arial"/>
          <w:b/>
          <w:bCs/>
          <w:color w:val="A6A6A6" w:themeColor="background1" w:themeShade="A6"/>
          <w:sz w:val="16"/>
          <w:szCs w:val="16"/>
        </w:rPr>
        <w:t>Unalterable provisions:</w:t>
      </w:r>
      <w:r w:rsidR="009F3213" w:rsidRPr="00BB70D5">
        <w:rPr>
          <w:rFonts w:cs="Arial"/>
          <w:color w:val="A6A6A6" w:themeColor="background1" w:themeShade="A6"/>
          <w:sz w:val="16"/>
          <w:szCs w:val="16"/>
        </w:rPr>
        <w:t xml:space="preserve"> </w:t>
      </w:r>
      <w:r w:rsidR="009F3213" w:rsidRPr="00BB70D5">
        <w:rPr>
          <w:rFonts w:cs="Arial"/>
          <w:b/>
          <w:bCs/>
          <w:i/>
          <w:iCs/>
          <w:color w:val="A6A6A6" w:themeColor="background1" w:themeShade="A6"/>
          <w:sz w:val="16"/>
          <w:szCs w:val="16"/>
        </w:rPr>
        <w:t xml:space="preserve">Section 26(1): </w:t>
      </w:r>
      <w:r w:rsidR="009F3213" w:rsidRPr="00BB70D5">
        <w:rPr>
          <w:rFonts w:cs="Arial"/>
          <w:color w:val="A6A6A6" w:themeColor="background1" w:themeShade="A6"/>
          <w:sz w:val="16"/>
          <w:szCs w:val="16"/>
        </w:rPr>
        <w:t>lists the minimum company records that shareholders should have access to. You can add to this list, but should not remove any of the items listed in section 26(1) of the Companies Act.</w:t>
      </w:r>
    </w:p>
  </w:footnote>
  <w:footnote w:id="37">
    <w:p w14:paraId="0F6F4EC9" w14:textId="77777777" w:rsidR="009F3213" w:rsidRPr="00BB70D5" w:rsidRDefault="009F3213"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26(3):</w:t>
      </w:r>
      <w:r w:rsidRPr="00BB70D5">
        <w:rPr>
          <w:rFonts w:cs="Arial"/>
          <w:color w:val="A6A6A6" w:themeColor="background1" w:themeShade="A6"/>
          <w:sz w:val="16"/>
          <w:szCs w:val="16"/>
        </w:rPr>
        <w:t xml:space="preserve"> the MOI may grant additional rights to any person to access the company's records.</w:t>
      </w:r>
    </w:p>
  </w:footnote>
  <w:footnote w:id="38">
    <w:p w14:paraId="2B0DF50C" w14:textId="77777777" w:rsidR="00B824D0" w:rsidRPr="00BB70D5" w:rsidRDefault="00B824D0"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AD1F75">
        <w:rPr>
          <w:rStyle w:val="FootnoteReference"/>
          <w:rFonts w:ascii="Arial" w:hAnsi="Arial" w:cs="Arial"/>
          <w:sz w:val="16"/>
          <w:szCs w:val="16"/>
        </w:rPr>
        <w:footnoteRef/>
      </w:r>
      <w:r w:rsidRPr="00AD1F75">
        <w:rPr>
          <w:rFonts w:ascii="Arial" w:hAnsi="Arial" w:cs="Arial"/>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 xml:space="preserve">Section 60: </w:t>
      </w:r>
      <w:r w:rsidRPr="00BB70D5">
        <w:rPr>
          <w:rFonts w:ascii="Arial" w:hAnsi="Arial" w:cs="Arial"/>
          <w:color w:val="A6A6A6" w:themeColor="background1" w:themeShade="A6"/>
          <w:sz w:val="16"/>
          <w:szCs w:val="16"/>
        </w:rPr>
        <w:t>determines that the shareholders may consider resolutions and pass them by means of round robin resolutions.</w:t>
      </w:r>
    </w:p>
    <w:p w14:paraId="517EA6C0" w14:textId="77777777" w:rsidR="00B824D0" w:rsidRPr="00BB70D5" w:rsidRDefault="00B824D0" w:rsidP="00351466">
      <w:pPr>
        <w:keepNext/>
        <w:keepLines/>
        <w:spacing w:line="240" w:lineRule="auto"/>
        <w:rPr>
          <w:rFonts w:cs="Arial"/>
          <w:color w:val="A6A6A6" w:themeColor="background1" w:themeShade="A6"/>
          <w:sz w:val="16"/>
          <w:szCs w:val="16"/>
          <w:lang w:eastAsia="en-ZA"/>
        </w:rPr>
      </w:pPr>
      <w:r w:rsidRPr="00BB70D5">
        <w:rPr>
          <w:rFonts w:cs="Arial"/>
          <w:color w:val="A6A6A6" w:themeColor="background1" w:themeShade="A6"/>
          <w:sz w:val="16"/>
          <w:szCs w:val="16"/>
          <w:lang w:eastAsia="en-ZA"/>
        </w:rPr>
        <w:t>However, section 60(5) of the Companies Act states that the MOI can restrict the passing of certain shareholders’ resolutions to annual general meetings.</w:t>
      </w:r>
    </w:p>
    <w:p w14:paraId="02CFE1FB" w14:textId="77777777" w:rsidR="00B824D0" w:rsidRPr="00BB70D5" w:rsidRDefault="00B824D0" w:rsidP="00351466">
      <w:pPr>
        <w:keepNext/>
        <w:keepLines/>
        <w:spacing w:line="240" w:lineRule="auto"/>
        <w:rPr>
          <w:rFonts w:cs="Arial"/>
          <w:color w:val="A6A6A6" w:themeColor="background1" w:themeShade="A6"/>
          <w:sz w:val="16"/>
          <w:szCs w:val="16"/>
          <w:lang w:eastAsia="en-ZA"/>
        </w:rPr>
      </w:pPr>
      <w:r w:rsidRPr="00BB70D5">
        <w:rPr>
          <w:rFonts w:cs="Arial"/>
          <w:color w:val="A6A6A6" w:themeColor="background1" w:themeShade="A6"/>
          <w:sz w:val="16"/>
          <w:szCs w:val="16"/>
          <w:lang w:eastAsia="en-ZA"/>
        </w:rPr>
        <w:t>We have not restricted the passing of resolutions by shareholders other than at annual general meetings as contemplated in section 60(5) of the Companies Act.</w:t>
      </w:r>
    </w:p>
    <w:p w14:paraId="7C1CFF92" w14:textId="77777777" w:rsidR="00B824D0" w:rsidRPr="00BB70D5" w:rsidRDefault="00B824D0" w:rsidP="00351466">
      <w:pPr>
        <w:keepNext/>
        <w:keepLines/>
        <w:spacing w:line="240" w:lineRule="auto"/>
        <w:rPr>
          <w:rFonts w:cs="Arial"/>
          <w:color w:val="A6A6A6" w:themeColor="background1" w:themeShade="A6"/>
          <w:sz w:val="16"/>
          <w:szCs w:val="16"/>
          <w:lang w:eastAsia="en-ZA"/>
        </w:rPr>
      </w:pPr>
      <w:r w:rsidRPr="00BB70D5">
        <w:rPr>
          <w:rFonts w:cs="Arial"/>
          <w:color w:val="A6A6A6" w:themeColor="background1" w:themeShade="A6"/>
          <w:sz w:val="16"/>
          <w:szCs w:val="16"/>
          <w:lang w:eastAsia="en-ZA"/>
        </w:rPr>
        <w:t>If you have a compelling reason to do so you can impose a restriction on shareholders, but be aware that this will be impractical if shareholders are required to pass resolutions while they are unable to meet.</w:t>
      </w:r>
    </w:p>
  </w:footnote>
  <w:footnote w:id="39">
    <w:p w14:paraId="27BBDEE7" w14:textId="77777777" w:rsidR="00C15439" w:rsidRPr="00BB70D5" w:rsidRDefault="00C15439"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Unalterable provisions:</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Sections 60(1) and (2):</w:t>
      </w:r>
      <w:r w:rsidRPr="00BB70D5">
        <w:rPr>
          <w:rFonts w:ascii="Arial" w:hAnsi="Arial" w:cs="Arial"/>
          <w:color w:val="A6A6A6" w:themeColor="background1" w:themeShade="A6"/>
          <w:sz w:val="16"/>
          <w:szCs w:val="16"/>
        </w:rPr>
        <w:t xml:space="preserve"> further to the comment at clause 17.1, although the MOI can restrict which resolutions can be adopted by way of round robin resolution – it cannot prohibit round robin resolutions entirely. A round robin resolution will have been adopted if supported by persons entitled to exercise </w:t>
      </w:r>
      <w:r w:rsidRPr="00BB70D5">
        <w:rPr>
          <w:rFonts w:ascii="Arial" w:hAnsi="Arial" w:cs="Arial"/>
          <w:color w:val="A6A6A6" w:themeColor="background1" w:themeShade="A6"/>
          <w:sz w:val="16"/>
          <w:szCs w:val="16"/>
          <w:u w:val="single"/>
        </w:rPr>
        <w:t>sufficient voting rights for it to have been adopted as an ordinary or a special resolution</w:t>
      </w:r>
      <w:r w:rsidRPr="00BB70D5">
        <w:rPr>
          <w:rFonts w:ascii="Arial" w:hAnsi="Arial" w:cs="Arial"/>
          <w:color w:val="A6A6A6" w:themeColor="background1" w:themeShade="A6"/>
          <w:sz w:val="16"/>
          <w:szCs w:val="16"/>
        </w:rPr>
        <w:t xml:space="preserve">, as the case may be, at a properly constituted shareholders' meeting. </w:t>
      </w:r>
      <w:r w:rsidRPr="00BB70D5">
        <w:rPr>
          <w:rFonts w:ascii="Arial" w:hAnsi="Arial" w:cs="Arial"/>
          <w:color w:val="A6A6A6" w:themeColor="background1" w:themeShade="A6"/>
          <w:sz w:val="16"/>
          <w:szCs w:val="16"/>
          <w:u w:val="single"/>
        </w:rPr>
        <w:t>Importantly, the threshold for adopting round robin resolutions cannot be changed to 100%, for example</w:t>
      </w:r>
      <w:r w:rsidRPr="00BB70D5">
        <w:rPr>
          <w:rFonts w:ascii="Arial" w:hAnsi="Arial" w:cs="Arial"/>
          <w:color w:val="A6A6A6" w:themeColor="background1" w:themeShade="A6"/>
          <w:sz w:val="16"/>
          <w:szCs w:val="16"/>
        </w:rPr>
        <w:t>, as was common under the old Companies Act, 71 of 1936. Round robin resolutions are obviously very practical tools for obtaining shareholders' approval – you'll find that most of our clients adopt the majority of their shareholders' resolutions by round robin. Note that section 60(4) of the Companies Act provides that within ten business days after adopting a round robin resolution, the company must deliver a statement describing the results of the vote to every shareholder who was entitled to vote on the resolution.</w:t>
      </w:r>
    </w:p>
    <w:p w14:paraId="6D62FB96" w14:textId="77777777" w:rsidR="00C15439" w:rsidRPr="00AD1F75" w:rsidRDefault="00C15439" w:rsidP="00351466">
      <w:pPr>
        <w:pStyle w:val="FootnoteText"/>
        <w:keepNext/>
        <w:keepLines/>
        <w:spacing w:after="0" w:line="240" w:lineRule="auto"/>
        <w:rPr>
          <w:rFonts w:cs="Arial"/>
          <w:sz w:val="16"/>
          <w:szCs w:val="16"/>
          <w:lang w:val="en-ZA"/>
        </w:rPr>
      </w:pPr>
    </w:p>
  </w:footnote>
  <w:footnote w:id="40">
    <w:p w14:paraId="15F73A52" w14:textId="77777777" w:rsidR="00C15439" w:rsidRPr="00BB70D5" w:rsidRDefault="00C15439" w:rsidP="00351466">
      <w:pPr>
        <w:pStyle w:val="pf0"/>
        <w:keepNext/>
        <w:keepLines/>
        <w:spacing w:before="0" w:beforeAutospacing="0" w:after="0" w:afterAutospacing="0"/>
        <w:jc w:val="both"/>
        <w:rPr>
          <w:rFonts w:ascii="Arial" w:hAnsi="Arial" w:cs="Arial"/>
          <w:b/>
          <w:bCs/>
          <w:i/>
          <w:iCs/>
          <w:color w:val="A6A6A6" w:themeColor="background1" w:themeShade="A6"/>
          <w:sz w:val="16"/>
          <w:szCs w:val="16"/>
        </w:rPr>
      </w:pPr>
      <w:r w:rsidRPr="00AD1F75">
        <w:rPr>
          <w:rStyle w:val="FootnoteReference"/>
          <w:rFonts w:ascii="Arial" w:hAnsi="Arial" w:cs="Arial"/>
          <w:sz w:val="16"/>
          <w:szCs w:val="16"/>
        </w:rPr>
        <w:footnoteRef/>
      </w:r>
      <w:r w:rsidRPr="00AD1F75">
        <w:rPr>
          <w:rFonts w:ascii="Arial" w:hAnsi="Arial" w:cs="Arial"/>
          <w:sz w:val="16"/>
          <w:szCs w:val="16"/>
        </w:rPr>
        <w:t xml:space="preserve"> </w:t>
      </w:r>
      <w:r w:rsidRPr="00BB70D5">
        <w:rPr>
          <w:rFonts w:ascii="Arial" w:hAnsi="Arial" w:cs="Arial"/>
          <w:b/>
          <w:bCs/>
          <w:color w:val="A6A6A6" w:themeColor="background1" w:themeShade="A6"/>
          <w:sz w:val="16"/>
          <w:szCs w:val="16"/>
        </w:rPr>
        <w:t>Alterable provisions</w:t>
      </w:r>
      <w:r w:rsidRPr="00BB70D5">
        <w:rPr>
          <w:rFonts w:ascii="Arial" w:hAnsi="Arial" w:cs="Arial"/>
          <w:b/>
          <w:bCs/>
          <w:i/>
          <w:iCs/>
          <w:color w:val="A6A6A6" w:themeColor="background1" w:themeShade="A6"/>
          <w:sz w:val="16"/>
          <w:szCs w:val="16"/>
        </w:rPr>
        <w:t>:</w:t>
      </w:r>
    </w:p>
    <w:p w14:paraId="48852572" w14:textId="77777777" w:rsidR="00C15439" w:rsidRPr="00BB70D5" w:rsidRDefault="00C15439" w:rsidP="00351466">
      <w:pPr>
        <w:pStyle w:val="pf0"/>
        <w:keepNext/>
        <w:keepLines/>
        <w:numPr>
          <w:ilvl w:val="0"/>
          <w:numId w:val="76"/>
        </w:numPr>
        <w:spacing w:before="0" w:beforeAutospacing="0" w:after="0" w:afterAutospacing="0"/>
        <w:jc w:val="both"/>
        <w:rPr>
          <w:rFonts w:ascii="Arial" w:hAnsi="Arial" w:cs="Arial"/>
          <w:color w:val="A6A6A6" w:themeColor="background1" w:themeShade="A6"/>
          <w:sz w:val="16"/>
          <w:szCs w:val="16"/>
        </w:rPr>
      </w:pPr>
      <w:r w:rsidRPr="00BB70D5">
        <w:rPr>
          <w:rFonts w:ascii="Arial" w:hAnsi="Arial" w:cs="Arial"/>
          <w:b/>
          <w:bCs/>
          <w:i/>
          <w:iCs/>
          <w:color w:val="A6A6A6" w:themeColor="background1" w:themeShade="A6"/>
          <w:sz w:val="16"/>
          <w:szCs w:val="16"/>
        </w:rPr>
        <w:t>Section 61(9)(a):</w:t>
      </w:r>
      <w:r w:rsidRPr="00BB70D5">
        <w:rPr>
          <w:rFonts w:ascii="Arial" w:hAnsi="Arial" w:cs="Arial"/>
          <w:color w:val="A6A6A6" w:themeColor="background1" w:themeShade="A6"/>
          <w:sz w:val="16"/>
          <w:szCs w:val="16"/>
        </w:rPr>
        <w:t xml:space="preserve"> the board of directors of the company may determine the location for any shareholders' meeting, except to the extent that the MOI provides otherwise.</w:t>
      </w:r>
    </w:p>
    <w:p w14:paraId="36FA4F18" w14:textId="77777777" w:rsidR="00C15439" w:rsidRPr="00BB70D5" w:rsidRDefault="00C15439" w:rsidP="00351466">
      <w:pPr>
        <w:pStyle w:val="pf0"/>
        <w:keepNext/>
        <w:keepLines/>
        <w:numPr>
          <w:ilvl w:val="0"/>
          <w:numId w:val="76"/>
        </w:numPr>
        <w:spacing w:before="0" w:beforeAutospacing="0" w:after="0" w:afterAutospacing="0"/>
        <w:jc w:val="both"/>
        <w:rPr>
          <w:rFonts w:ascii="Arial" w:hAnsi="Arial" w:cs="Arial"/>
          <w:color w:val="A6A6A6" w:themeColor="background1" w:themeShade="A6"/>
          <w:sz w:val="16"/>
          <w:szCs w:val="16"/>
        </w:rPr>
      </w:pPr>
      <w:r w:rsidRPr="00BB70D5">
        <w:rPr>
          <w:rFonts w:ascii="Arial" w:hAnsi="Arial" w:cs="Arial"/>
          <w:b/>
          <w:bCs/>
          <w:i/>
          <w:iCs/>
          <w:color w:val="A6A6A6" w:themeColor="background1" w:themeShade="A6"/>
          <w:sz w:val="16"/>
          <w:szCs w:val="16"/>
        </w:rPr>
        <w:t>Section 61(9)(b):</w:t>
      </w:r>
      <w:r w:rsidRPr="00BB70D5">
        <w:rPr>
          <w:rFonts w:ascii="Arial" w:hAnsi="Arial" w:cs="Arial"/>
          <w:color w:val="A6A6A6" w:themeColor="background1" w:themeShade="A6"/>
          <w:sz w:val="16"/>
          <w:szCs w:val="16"/>
        </w:rPr>
        <w:t xml:space="preserve"> a shareholders' meeting may be held in South Africa or in any foreign country, except to the extent that the MOI provides otherwise.</w:t>
      </w:r>
    </w:p>
    <w:p w14:paraId="3BB92CE7" w14:textId="77777777" w:rsidR="00C15439" w:rsidRPr="00AD1F75" w:rsidRDefault="00C15439" w:rsidP="00351466">
      <w:pPr>
        <w:keepNext/>
        <w:keepLines/>
        <w:spacing w:line="240" w:lineRule="auto"/>
        <w:rPr>
          <w:rFonts w:cs="Arial"/>
          <w:sz w:val="16"/>
          <w:szCs w:val="16"/>
          <w:lang w:eastAsia="en-ZA"/>
        </w:rPr>
      </w:pPr>
      <w:r w:rsidRPr="00BB70D5">
        <w:rPr>
          <w:rFonts w:cs="Arial"/>
          <w:color w:val="A6A6A6" w:themeColor="background1" w:themeShade="A6"/>
          <w:sz w:val="16"/>
          <w:szCs w:val="16"/>
          <w:lang w:eastAsia="en-ZA"/>
        </w:rPr>
        <w:t>You can amend this clause by restricting the board’s powers by requiring the meeting to be held at a specific location.</w:t>
      </w:r>
    </w:p>
  </w:footnote>
  <w:footnote w:id="41">
    <w:p w14:paraId="670B8886" w14:textId="77777777" w:rsidR="00C15439" w:rsidRPr="00BB70D5" w:rsidRDefault="00C15439"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AD1F75">
        <w:rPr>
          <w:rStyle w:val="FootnoteReference"/>
          <w:rFonts w:ascii="Arial" w:hAnsi="Arial" w:cs="Arial"/>
          <w:sz w:val="16"/>
          <w:szCs w:val="16"/>
        </w:rPr>
        <w:footnoteRef/>
      </w:r>
      <w:r w:rsidRPr="00AD1F75">
        <w:rPr>
          <w:rFonts w:ascii="Arial" w:hAnsi="Arial" w:cs="Arial"/>
          <w:sz w:val="16"/>
          <w:szCs w:val="16"/>
        </w:rPr>
        <w:t xml:space="preserve"> </w:t>
      </w:r>
      <w:r w:rsidRPr="00BB70D5">
        <w:rPr>
          <w:rFonts w:ascii="Arial" w:hAnsi="Arial" w:cs="Arial"/>
          <w:b/>
          <w:bCs/>
          <w:color w:val="A6A6A6" w:themeColor="background1" w:themeShade="A6"/>
          <w:sz w:val="16"/>
          <w:szCs w:val="16"/>
        </w:rPr>
        <w:t>Alterable provisions</w:t>
      </w:r>
      <w:r w:rsidRPr="00BB70D5">
        <w:rPr>
          <w:rFonts w:ascii="Arial" w:hAnsi="Arial" w:cs="Arial"/>
          <w:b/>
          <w:bCs/>
          <w:i/>
          <w:iCs/>
          <w:color w:val="A6A6A6" w:themeColor="background1" w:themeShade="A6"/>
          <w:sz w:val="16"/>
          <w:szCs w:val="16"/>
        </w:rPr>
        <w:t>:</w:t>
      </w:r>
    </w:p>
    <w:p w14:paraId="40817A43" w14:textId="77777777" w:rsidR="00C15439" w:rsidRPr="00BB70D5" w:rsidRDefault="00C15439" w:rsidP="00351466">
      <w:pPr>
        <w:pStyle w:val="ListParagraph"/>
        <w:keepNext/>
        <w:keepLines/>
        <w:numPr>
          <w:ilvl w:val="0"/>
          <w:numId w:val="76"/>
        </w:numPr>
        <w:spacing w:line="240" w:lineRule="auto"/>
        <w:rPr>
          <w:rFonts w:cs="Arial"/>
          <w:color w:val="A6A6A6" w:themeColor="background1" w:themeShade="A6"/>
          <w:sz w:val="16"/>
          <w:szCs w:val="16"/>
          <w:lang w:eastAsia="en-ZA"/>
        </w:rPr>
      </w:pPr>
      <w:r w:rsidRPr="00BB70D5">
        <w:rPr>
          <w:rFonts w:cs="Arial"/>
          <w:b/>
          <w:bCs/>
          <w:i/>
          <w:iCs/>
          <w:color w:val="A6A6A6" w:themeColor="background1" w:themeShade="A6"/>
          <w:sz w:val="16"/>
          <w:szCs w:val="16"/>
          <w:lang w:eastAsia="en-ZA"/>
        </w:rPr>
        <w:t>Section 63(2)(a):</w:t>
      </w:r>
      <w:r w:rsidRPr="00BB70D5">
        <w:rPr>
          <w:rFonts w:cs="Arial"/>
          <w:color w:val="A6A6A6" w:themeColor="background1" w:themeShade="A6"/>
          <w:sz w:val="16"/>
          <w:szCs w:val="16"/>
          <w:lang w:eastAsia="en-ZA"/>
        </w:rPr>
        <w:t xml:space="preserve"> a shareholders' meeting may be conducted entirely by electronic communication;</w:t>
      </w:r>
    </w:p>
    <w:p w14:paraId="423C204D" w14:textId="77777777" w:rsidR="00C15439" w:rsidRPr="00BB70D5" w:rsidRDefault="00C15439" w:rsidP="00351466">
      <w:pPr>
        <w:pStyle w:val="ListParagraph"/>
        <w:keepNext/>
        <w:keepLines/>
        <w:numPr>
          <w:ilvl w:val="0"/>
          <w:numId w:val="76"/>
        </w:numPr>
        <w:spacing w:line="240" w:lineRule="auto"/>
        <w:rPr>
          <w:rFonts w:cs="Arial"/>
          <w:color w:val="A6A6A6" w:themeColor="background1" w:themeShade="A6"/>
          <w:sz w:val="16"/>
          <w:szCs w:val="16"/>
          <w:lang w:eastAsia="en-ZA"/>
        </w:rPr>
      </w:pPr>
      <w:r w:rsidRPr="00BB70D5">
        <w:rPr>
          <w:rFonts w:cs="Arial"/>
          <w:b/>
          <w:bCs/>
          <w:i/>
          <w:iCs/>
          <w:color w:val="A6A6A6" w:themeColor="background1" w:themeShade="A6"/>
          <w:sz w:val="16"/>
          <w:szCs w:val="16"/>
          <w:lang w:eastAsia="en-ZA"/>
        </w:rPr>
        <w:t>Section 63(2)(b):</w:t>
      </w:r>
      <w:r w:rsidRPr="00BB70D5">
        <w:rPr>
          <w:rFonts w:cs="Arial"/>
          <w:color w:val="A6A6A6" w:themeColor="background1" w:themeShade="A6"/>
          <w:sz w:val="16"/>
          <w:szCs w:val="16"/>
          <w:lang w:eastAsia="en-ZA"/>
        </w:rPr>
        <w:t xml:space="preserve"> one or more shareholder(s) / proxies may participate by electronic communication in all or part of a shareholders' meeting (as long as the electronic communication employed ordinarily enables all persons participating in that meeting to communicate concurrently with each other without an intermediary, and to participate reasonably effectively in the meeting),</w:t>
      </w:r>
    </w:p>
    <w:p w14:paraId="17AFFA26" w14:textId="77777777" w:rsidR="00C15439" w:rsidRPr="00BB70D5" w:rsidRDefault="00C15439" w:rsidP="00351466">
      <w:pPr>
        <w:keepNext/>
        <w:keepLines/>
        <w:spacing w:line="240" w:lineRule="auto"/>
        <w:ind w:left="284" w:firstLine="284"/>
        <w:rPr>
          <w:rFonts w:cs="Arial"/>
          <w:color w:val="A6A6A6" w:themeColor="background1" w:themeShade="A6"/>
          <w:sz w:val="16"/>
          <w:szCs w:val="16"/>
          <w:lang w:eastAsia="en-ZA"/>
        </w:rPr>
      </w:pPr>
      <w:r w:rsidRPr="00BB70D5">
        <w:rPr>
          <w:rFonts w:cs="Arial"/>
          <w:color w:val="A6A6A6" w:themeColor="background1" w:themeShade="A6"/>
          <w:sz w:val="16"/>
          <w:szCs w:val="16"/>
          <w:lang w:eastAsia="en-ZA"/>
        </w:rPr>
        <w:t>unless prohibited by the MOI.</w:t>
      </w:r>
    </w:p>
    <w:p w14:paraId="551C44EB" w14:textId="77777777" w:rsidR="00C15439" w:rsidRPr="00BB70D5" w:rsidRDefault="00C15439" w:rsidP="00351466">
      <w:pPr>
        <w:keepNext/>
        <w:keepLines/>
        <w:spacing w:line="240" w:lineRule="auto"/>
        <w:rPr>
          <w:rFonts w:cs="Arial"/>
          <w:color w:val="A6A6A6" w:themeColor="background1" w:themeShade="A6"/>
          <w:sz w:val="16"/>
          <w:szCs w:val="16"/>
          <w:lang w:eastAsia="en-ZA"/>
        </w:rPr>
      </w:pPr>
      <w:r w:rsidRPr="00BB70D5">
        <w:rPr>
          <w:rFonts w:cs="Arial"/>
          <w:color w:val="A6A6A6" w:themeColor="background1" w:themeShade="A6"/>
          <w:sz w:val="16"/>
          <w:szCs w:val="16"/>
          <w:lang w:eastAsia="en-ZA"/>
        </w:rPr>
        <w:t>While this is an alterable clause allowing restrictions to be placed on a company's ability to hold shareholders' meeting by way of electronic communication, we would not advise restricting this ability – it is a very practical way in which to hold shareholders' meetings.</w:t>
      </w:r>
    </w:p>
    <w:p w14:paraId="388CBF4B" w14:textId="77777777" w:rsidR="00C15439" w:rsidRPr="00BB70D5" w:rsidRDefault="00C15439" w:rsidP="00351466">
      <w:pPr>
        <w:pStyle w:val="FootnoteText"/>
        <w:keepNext/>
        <w:keepLines/>
        <w:spacing w:after="0" w:line="240" w:lineRule="auto"/>
        <w:rPr>
          <w:rFonts w:cs="Arial"/>
          <w:color w:val="A6A6A6" w:themeColor="background1" w:themeShade="A6"/>
          <w:sz w:val="16"/>
          <w:szCs w:val="16"/>
          <w:lang w:val="en-ZA"/>
        </w:rPr>
      </w:pPr>
    </w:p>
  </w:footnote>
  <w:footnote w:id="42">
    <w:p w14:paraId="6A04FC00" w14:textId="77777777" w:rsidR="001B5B99" w:rsidRPr="00BB70D5" w:rsidRDefault="001B5B99"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b/>
          <w:bCs/>
          <w:i/>
          <w:iCs/>
          <w:color w:val="A6A6A6" w:themeColor="background1" w:themeShade="A6"/>
          <w:sz w:val="16"/>
          <w:szCs w:val="16"/>
        </w:rPr>
        <w:t xml:space="preserve">: Section 62(2): </w:t>
      </w:r>
      <w:r w:rsidRPr="00BB70D5">
        <w:rPr>
          <w:rFonts w:cs="Arial"/>
          <w:color w:val="A6A6A6" w:themeColor="background1" w:themeShade="A6"/>
          <w:sz w:val="16"/>
          <w:szCs w:val="16"/>
        </w:rPr>
        <w:t xml:space="preserve">the MOI may provide for </w:t>
      </w:r>
      <w:r w:rsidRPr="00BB70D5">
        <w:rPr>
          <w:rFonts w:cs="Arial"/>
          <w:color w:val="A6A6A6" w:themeColor="background1" w:themeShade="A6"/>
          <w:sz w:val="16"/>
          <w:szCs w:val="16"/>
          <w:u w:val="single"/>
        </w:rPr>
        <w:t xml:space="preserve">longer </w:t>
      </w:r>
      <w:r w:rsidRPr="00BB70D5">
        <w:rPr>
          <w:rFonts w:cs="Arial"/>
          <w:color w:val="A6A6A6" w:themeColor="background1" w:themeShade="A6"/>
          <w:sz w:val="16"/>
          <w:szCs w:val="16"/>
        </w:rPr>
        <w:t>minimum notice periods.</w:t>
      </w:r>
    </w:p>
  </w:footnote>
  <w:footnote w:id="43">
    <w:p w14:paraId="25087EF5" w14:textId="77777777" w:rsidR="001B5B99" w:rsidRPr="00BB70D5" w:rsidRDefault="001B5B99"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Sections 62(1):</w:t>
      </w:r>
      <w:r w:rsidRPr="00BB70D5">
        <w:rPr>
          <w:rFonts w:cs="Arial"/>
          <w:color w:val="A6A6A6" w:themeColor="background1" w:themeShade="A6"/>
          <w:sz w:val="16"/>
          <w:szCs w:val="16"/>
        </w:rPr>
        <w:t xml:space="preserve"> notice of each shareholders' meeting must be delivered to all shareholders 10 business days before the meeting begins.</w:t>
      </w:r>
    </w:p>
  </w:footnote>
  <w:footnote w:id="44">
    <w:p w14:paraId="7250F3D1" w14:textId="77777777" w:rsidR="001B5B99" w:rsidRPr="00AD1F75" w:rsidRDefault="001B5B99"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62(7) </w:t>
      </w:r>
      <w:r w:rsidRPr="00BB70D5">
        <w:rPr>
          <w:rFonts w:cs="Arial"/>
          <w:color w:val="A6A6A6" w:themeColor="background1" w:themeShade="A6"/>
          <w:sz w:val="16"/>
          <w:szCs w:val="16"/>
        </w:rPr>
        <w:t>sets out this unalterable provision.</w:t>
      </w:r>
    </w:p>
  </w:footnote>
  <w:footnote w:id="45">
    <w:p w14:paraId="546233E9" w14:textId="77777777" w:rsidR="001B5B99" w:rsidRPr="00AD1F75" w:rsidRDefault="001B5B99" w:rsidP="00351466">
      <w:pPr>
        <w:pStyle w:val="pf0"/>
        <w:keepNext/>
        <w:keepLines/>
        <w:spacing w:before="0" w:beforeAutospacing="0" w:after="0" w:afterAutospacing="0"/>
        <w:jc w:val="both"/>
        <w:rPr>
          <w:rFonts w:ascii="Arial" w:hAnsi="Arial" w:cs="Arial"/>
          <w:sz w:val="16"/>
          <w:szCs w:val="16"/>
        </w:rPr>
      </w:pPr>
      <w:r w:rsidRPr="00AD1F75">
        <w:rPr>
          <w:rStyle w:val="FootnoteReference"/>
          <w:rFonts w:ascii="Arial" w:hAnsi="Arial" w:cs="Arial"/>
          <w:sz w:val="16"/>
          <w:szCs w:val="16"/>
        </w:rPr>
        <w:footnoteRef/>
      </w:r>
      <w:r w:rsidRPr="00AD1F75">
        <w:rPr>
          <w:rFonts w:ascii="Arial" w:hAnsi="Arial" w:cs="Arial"/>
          <w:sz w:val="16"/>
          <w:szCs w:val="16"/>
        </w:rPr>
        <w:t xml:space="preserve"> </w:t>
      </w:r>
      <w:r w:rsidRPr="00BB70D5">
        <w:rPr>
          <w:rFonts w:ascii="Arial" w:hAnsi="Arial" w:cs="Arial"/>
          <w:b/>
          <w:bCs/>
          <w:color w:val="A6A6A6" w:themeColor="background1" w:themeShade="A6"/>
          <w:sz w:val="16"/>
          <w:szCs w:val="16"/>
        </w:rPr>
        <w:t>Unalterable provisions:</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 xml:space="preserve">Section 62(3) </w:t>
      </w:r>
      <w:r w:rsidRPr="00BB70D5">
        <w:rPr>
          <w:rFonts w:ascii="Arial" w:hAnsi="Arial" w:cs="Arial"/>
          <w:color w:val="A6A6A6" w:themeColor="background1" w:themeShade="A6"/>
          <w:sz w:val="16"/>
          <w:szCs w:val="16"/>
        </w:rPr>
        <w:t xml:space="preserve">records the minimum requirements that notices must adhere to. </w:t>
      </w:r>
      <w:r w:rsidRPr="00BB70D5">
        <w:rPr>
          <w:rFonts w:ascii="Arial" w:hAnsi="Arial" w:cs="Arial"/>
          <w:b/>
          <w:bCs/>
          <w:i/>
          <w:iCs/>
          <w:color w:val="A6A6A6" w:themeColor="background1" w:themeShade="A6"/>
          <w:sz w:val="16"/>
          <w:szCs w:val="16"/>
        </w:rPr>
        <w:t xml:space="preserve">Section 63(3) </w:t>
      </w:r>
      <w:r w:rsidRPr="00BB70D5">
        <w:rPr>
          <w:rFonts w:ascii="Arial" w:hAnsi="Arial" w:cs="Arial"/>
          <w:color w:val="A6A6A6" w:themeColor="background1" w:themeShade="A6"/>
          <w:sz w:val="16"/>
          <w:szCs w:val="16"/>
        </w:rPr>
        <w:t>provides that if the company allows for electronic participation in meetings, the shareholders must be notified of this fact in the notice.</w:t>
      </w:r>
    </w:p>
    <w:p w14:paraId="566E50BA" w14:textId="77777777" w:rsidR="001B5B99" w:rsidRPr="00AD1F75" w:rsidRDefault="001B5B99" w:rsidP="00351466">
      <w:pPr>
        <w:pStyle w:val="FootnoteText"/>
        <w:keepNext/>
        <w:keepLines/>
        <w:spacing w:after="0" w:line="240" w:lineRule="auto"/>
        <w:rPr>
          <w:rFonts w:cs="Arial"/>
          <w:sz w:val="16"/>
          <w:szCs w:val="16"/>
          <w:lang w:val="en-ZA"/>
        </w:rPr>
      </w:pPr>
    </w:p>
  </w:footnote>
  <w:footnote w:id="46">
    <w:p w14:paraId="011622DA" w14:textId="77777777" w:rsidR="001B5B99" w:rsidRPr="00BB70D5" w:rsidRDefault="001B5B99"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AD1F75">
        <w:rPr>
          <w:rStyle w:val="FootnoteReference"/>
          <w:rFonts w:ascii="Arial" w:hAnsi="Arial" w:cs="Arial"/>
          <w:sz w:val="16"/>
          <w:szCs w:val="16"/>
        </w:rPr>
        <w:footnoteRef/>
      </w:r>
      <w:r w:rsidRPr="00AD1F75">
        <w:rPr>
          <w:rFonts w:ascii="Arial" w:hAnsi="Arial" w:cs="Arial"/>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58(3)(a):</w:t>
      </w:r>
      <w:r w:rsidRPr="00BB70D5">
        <w:rPr>
          <w:rFonts w:ascii="Arial" w:hAnsi="Arial" w:cs="Arial"/>
          <w:color w:val="A6A6A6" w:themeColor="background1" w:themeShade="A6"/>
          <w:sz w:val="16"/>
          <w:szCs w:val="16"/>
        </w:rPr>
        <w:t xml:space="preserve"> a shareholder may appoint two or more persons concurrently as proxies, and may appoint more than one proxy to exercise voting rights attached to different securities held by the shareholder, except to the extent that the MOI provides otherwise. We have amended this default position and provided that a shareholder can only appoint one proxy – this is ordinarily sufficient for private companies.</w:t>
      </w:r>
    </w:p>
  </w:footnote>
  <w:footnote w:id="47">
    <w:p w14:paraId="38E93BD4" w14:textId="77777777" w:rsidR="001B5B99" w:rsidRPr="00BB70D5" w:rsidRDefault="001B5B99"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Unalterable provision:</w:t>
      </w:r>
      <w:r w:rsidRPr="00BB70D5">
        <w:rPr>
          <w:rFonts w:ascii="Arial" w:hAnsi="Arial" w:cs="Arial"/>
          <w:b/>
          <w:bCs/>
          <w:i/>
          <w:iCs/>
          <w:color w:val="A6A6A6" w:themeColor="background1" w:themeShade="A6"/>
          <w:sz w:val="16"/>
          <w:szCs w:val="16"/>
        </w:rPr>
        <w:t xml:space="preserve"> Section 58(1):</w:t>
      </w:r>
      <w:r w:rsidRPr="00BB70D5">
        <w:rPr>
          <w:rFonts w:ascii="Arial" w:hAnsi="Arial" w:cs="Arial"/>
          <w:color w:val="A6A6A6" w:themeColor="background1" w:themeShade="A6"/>
          <w:sz w:val="16"/>
          <w:szCs w:val="16"/>
        </w:rPr>
        <w:t xml:space="preserve"> provides that a shareholder of a company may, at any time, appoint an individual who is not a shareholder of that company as proxy to:</w:t>
      </w:r>
    </w:p>
    <w:p w14:paraId="66A913C6" w14:textId="77777777" w:rsidR="001B5B99" w:rsidRPr="00BB70D5" w:rsidRDefault="001B5B99" w:rsidP="00351466">
      <w:pPr>
        <w:pStyle w:val="pf0"/>
        <w:keepNext/>
        <w:keepLines/>
        <w:numPr>
          <w:ilvl w:val="0"/>
          <w:numId w:val="76"/>
        </w:numPr>
        <w:spacing w:before="0" w:beforeAutospacing="0" w:after="0" w:afterAutospacing="0"/>
        <w:jc w:val="both"/>
        <w:rPr>
          <w:rFonts w:ascii="Arial" w:hAnsi="Arial" w:cs="Arial"/>
          <w:color w:val="A6A6A6" w:themeColor="background1" w:themeShade="A6"/>
          <w:sz w:val="16"/>
          <w:szCs w:val="16"/>
        </w:rPr>
      </w:pPr>
      <w:r w:rsidRPr="00BB70D5">
        <w:rPr>
          <w:rFonts w:ascii="Arial" w:hAnsi="Arial" w:cs="Arial"/>
          <w:color w:val="A6A6A6" w:themeColor="background1" w:themeShade="A6"/>
          <w:sz w:val="16"/>
          <w:szCs w:val="16"/>
        </w:rPr>
        <w:t>participate in, speak and vote at, a shareholders' meeting on behalf of the shareholder; or</w:t>
      </w:r>
    </w:p>
    <w:p w14:paraId="7F687203" w14:textId="77777777" w:rsidR="001B5B99" w:rsidRPr="00BB70D5" w:rsidRDefault="001B5B99" w:rsidP="00351466">
      <w:pPr>
        <w:pStyle w:val="pf0"/>
        <w:keepNext/>
        <w:keepLines/>
        <w:numPr>
          <w:ilvl w:val="0"/>
          <w:numId w:val="76"/>
        </w:numPr>
        <w:spacing w:before="0" w:beforeAutospacing="0" w:after="0" w:afterAutospacing="0"/>
        <w:jc w:val="both"/>
        <w:rPr>
          <w:rFonts w:ascii="Arial" w:hAnsi="Arial" w:cs="Arial"/>
          <w:color w:val="A6A6A6" w:themeColor="background1" w:themeShade="A6"/>
          <w:sz w:val="16"/>
          <w:szCs w:val="16"/>
        </w:rPr>
      </w:pPr>
      <w:r w:rsidRPr="00BB70D5">
        <w:rPr>
          <w:rFonts w:ascii="Arial" w:hAnsi="Arial" w:cs="Arial"/>
          <w:color w:val="A6A6A6" w:themeColor="background1" w:themeShade="A6"/>
          <w:sz w:val="16"/>
          <w:szCs w:val="16"/>
        </w:rPr>
        <w:t>give or withhold written consent on behalf of the shareholder to a round robin decision.</w:t>
      </w:r>
    </w:p>
    <w:p w14:paraId="64EACA2F" w14:textId="77777777" w:rsidR="001B5B99" w:rsidRPr="00BB70D5" w:rsidRDefault="001B5B99" w:rsidP="00351466">
      <w:pPr>
        <w:pStyle w:val="FootnoteText"/>
        <w:keepNext/>
        <w:keepLines/>
        <w:spacing w:after="0" w:line="240" w:lineRule="auto"/>
        <w:rPr>
          <w:rFonts w:cs="Arial"/>
          <w:color w:val="A6A6A6" w:themeColor="background1" w:themeShade="A6"/>
          <w:sz w:val="16"/>
          <w:szCs w:val="16"/>
          <w:lang w:val="en-ZA"/>
        </w:rPr>
      </w:pPr>
    </w:p>
  </w:footnote>
  <w:footnote w:id="48">
    <w:p w14:paraId="5173B62C" w14:textId="77777777" w:rsidR="001B5B99" w:rsidRPr="00BB70D5" w:rsidRDefault="001B5B99"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58(3)(b):</w:t>
      </w:r>
      <w:r w:rsidRPr="00BB70D5">
        <w:rPr>
          <w:rFonts w:cs="Arial"/>
          <w:color w:val="A6A6A6" w:themeColor="background1" w:themeShade="A6"/>
          <w:sz w:val="16"/>
          <w:szCs w:val="16"/>
        </w:rPr>
        <w:t xml:space="preserve"> a proxy may delegate his authority to act on behalf of the shareholders to another person, except to the extent that the MOI provides otherwise.</w:t>
      </w:r>
    </w:p>
  </w:footnote>
  <w:footnote w:id="49">
    <w:p w14:paraId="447724EE" w14:textId="77777777" w:rsidR="001B5B99" w:rsidRPr="00BB70D5" w:rsidRDefault="001B5B99"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58(3)(c):</w:t>
      </w:r>
      <w:r w:rsidRPr="00BB70D5">
        <w:rPr>
          <w:rFonts w:ascii="Arial" w:hAnsi="Arial" w:cs="Arial"/>
          <w:color w:val="A6A6A6" w:themeColor="background1" w:themeShade="A6"/>
          <w:sz w:val="16"/>
          <w:szCs w:val="16"/>
        </w:rPr>
        <w:t xml:space="preserve"> a copy of the instrument appointing a proxy must be delivered to the company, or to any other person on behalf of the company, before the proxy exercises any rights of the shareholder at a shareholders' meeting except to the extent that the MOI provides otherwise. You can therefore amend this clause to state for instance, that a copy of the proxy instrument may be delivered after the meeting. This would however have practical implications that must be considered (i.e. the resolution passed at a meeting may be invalid until the instrument is provided, there might not be a quorum until the instrument is provided, for example).</w:t>
      </w:r>
    </w:p>
  </w:footnote>
  <w:footnote w:id="50">
    <w:p w14:paraId="57028928"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58(2)(b):</w:t>
      </w:r>
      <w:r w:rsidRPr="00BB70D5">
        <w:rPr>
          <w:rFonts w:cs="Arial"/>
          <w:color w:val="A6A6A6" w:themeColor="background1" w:themeShade="A6"/>
          <w:sz w:val="16"/>
          <w:szCs w:val="16"/>
        </w:rPr>
        <w:t xml:space="preserve"> sets out this unalterable provision.</w:t>
      </w:r>
    </w:p>
  </w:footnote>
  <w:footnote w:id="51">
    <w:p w14:paraId="4E65FD2B" w14:textId="77777777" w:rsidR="001B5B99" w:rsidRPr="00BB70D5" w:rsidRDefault="001B5B99"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001D2620" w:rsidRPr="00BB70D5">
        <w:rPr>
          <w:rFonts w:cs="Arial"/>
          <w:b/>
          <w:bCs/>
          <w:color w:val="A6A6A6" w:themeColor="background1" w:themeShade="A6"/>
          <w:sz w:val="16"/>
          <w:szCs w:val="16"/>
        </w:rPr>
        <w:t>Unalterable provision:</w:t>
      </w:r>
      <w:r w:rsidR="001D2620" w:rsidRPr="00BB70D5">
        <w:rPr>
          <w:rFonts w:cs="Arial"/>
          <w:color w:val="A6A6A6" w:themeColor="background1" w:themeShade="A6"/>
          <w:sz w:val="16"/>
          <w:szCs w:val="16"/>
        </w:rPr>
        <w:t xml:space="preserve"> </w:t>
      </w:r>
      <w:r w:rsidR="001D2620" w:rsidRPr="00BB70D5">
        <w:rPr>
          <w:rFonts w:cs="Arial"/>
          <w:b/>
          <w:bCs/>
          <w:i/>
          <w:iCs/>
          <w:color w:val="A6A6A6" w:themeColor="background1" w:themeShade="A6"/>
          <w:sz w:val="16"/>
          <w:szCs w:val="16"/>
        </w:rPr>
        <w:t xml:space="preserve">Section 58(4): </w:t>
      </w:r>
      <w:r w:rsidR="001D2620" w:rsidRPr="00BB70D5">
        <w:rPr>
          <w:rFonts w:cs="Arial"/>
          <w:color w:val="A6A6A6" w:themeColor="background1" w:themeShade="A6"/>
          <w:sz w:val="16"/>
          <w:szCs w:val="16"/>
        </w:rPr>
        <w:t>sets out these unalterable provisions.</w:t>
      </w:r>
    </w:p>
  </w:footnote>
  <w:footnote w:id="52">
    <w:p w14:paraId="512B4F6F" w14:textId="77777777" w:rsidR="001D2620" w:rsidRPr="00BB70D5" w:rsidRDefault="001D2620"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58(7):</w:t>
      </w:r>
      <w:r w:rsidRPr="00BB70D5">
        <w:rPr>
          <w:rFonts w:ascii="Arial" w:hAnsi="Arial" w:cs="Arial"/>
          <w:color w:val="A6A6A6" w:themeColor="background1" w:themeShade="A6"/>
          <w:sz w:val="16"/>
          <w:szCs w:val="16"/>
        </w:rPr>
        <w:t xml:space="preserve"> a proxy is entitled to exercise, and abstain from exercising, any voting right of the shareholder without direction except to the extent that the MOI, or instrument appointing a proxy, provides otherwise. You can therefore amend this clause to state that proxies may not, for example, vote on special resolutions or certain reserved matters. This would be unusual, but may be done if your client instructs you to do so.</w:t>
      </w:r>
    </w:p>
    <w:p w14:paraId="05934053" w14:textId="77777777" w:rsidR="001D2620" w:rsidRPr="00AD1F75" w:rsidRDefault="001D2620" w:rsidP="00351466">
      <w:pPr>
        <w:pStyle w:val="FootnoteText"/>
        <w:keepNext/>
        <w:keepLines/>
        <w:spacing w:after="0" w:line="240" w:lineRule="auto"/>
        <w:rPr>
          <w:rFonts w:cs="Arial"/>
          <w:sz w:val="16"/>
          <w:szCs w:val="16"/>
          <w:lang w:val="en-ZA"/>
        </w:rPr>
      </w:pPr>
    </w:p>
  </w:footnote>
  <w:footnote w:id="53">
    <w:p w14:paraId="5795899F"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62(4): </w:t>
      </w:r>
      <w:r w:rsidRPr="00BB70D5">
        <w:rPr>
          <w:rFonts w:cs="Arial"/>
          <w:color w:val="A6A6A6" w:themeColor="background1" w:themeShade="A6"/>
          <w:sz w:val="16"/>
          <w:szCs w:val="16"/>
        </w:rPr>
        <w:t>sets out this unalterable provision, so do not amend it to lower the voting threshold or to state that defects render meetings invalid.</w:t>
      </w:r>
    </w:p>
  </w:footnote>
  <w:footnote w:id="54">
    <w:p w14:paraId="7EBF7114"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62(5): </w:t>
      </w:r>
      <w:r w:rsidRPr="00BB70D5">
        <w:rPr>
          <w:rFonts w:cs="Arial"/>
          <w:color w:val="A6A6A6" w:themeColor="background1" w:themeShade="A6"/>
          <w:sz w:val="16"/>
          <w:szCs w:val="16"/>
        </w:rPr>
        <w:t>sets out this unalterable provision.</w:t>
      </w:r>
    </w:p>
  </w:footnote>
  <w:footnote w:id="55">
    <w:p w14:paraId="44CC0EAF"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62(6): </w:t>
      </w:r>
      <w:r w:rsidRPr="00BB70D5">
        <w:rPr>
          <w:rFonts w:cs="Arial"/>
          <w:color w:val="A6A6A6" w:themeColor="background1" w:themeShade="A6"/>
          <w:sz w:val="16"/>
          <w:szCs w:val="16"/>
        </w:rPr>
        <w:t>sets out this unalterable provision.</w:t>
      </w:r>
    </w:p>
  </w:footnote>
  <w:footnote w:id="56">
    <w:p w14:paraId="5E728607"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64(3)(a): </w:t>
      </w:r>
      <w:r w:rsidRPr="00BB70D5">
        <w:rPr>
          <w:rFonts w:cs="Arial"/>
          <w:color w:val="A6A6A6" w:themeColor="background1" w:themeShade="A6"/>
          <w:sz w:val="16"/>
          <w:szCs w:val="16"/>
        </w:rPr>
        <w:t>despite the quorum percentages of section 64(1) of the Companies Act, or as stated in the company's MOI, if the company has more than two shareholders, a meeting may not begin or a matter begin to be debated, unless at least three shareholders are present and the requirements of section 64(1) or the MOI, if different, are satisfied.</w:t>
      </w:r>
    </w:p>
  </w:footnote>
  <w:footnote w:id="57">
    <w:p w14:paraId="21906EAE"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64(1)(b), read with section 64(2): </w:t>
      </w:r>
      <w:r w:rsidRPr="00BB70D5">
        <w:rPr>
          <w:rFonts w:cs="Arial"/>
          <w:color w:val="A6A6A6" w:themeColor="background1" w:themeShade="A6"/>
          <w:sz w:val="16"/>
          <w:szCs w:val="16"/>
        </w:rPr>
        <w:t>a matter to be decided at a shareholders' meeting may not begin until sufficient persons are present at the meeting to exercise, in aggregate, at least 25% of all of the voting rights that are entitled to be exercised on that matter at the time the matter is called on the agenda, unless the MOI provides for a higher or lower percentage.</w:t>
      </w:r>
    </w:p>
  </w:footnote>
  <w:footnote w:id="58">
    <w:p w14:paraId="38ED7112" w14:textId="66B0A304" w:rsidR="001D2620" w:rsidRPr="00BB70D5" w:rsidRDefault="001D2620"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 xml:space="preserve">Section 64(9): </w:t>
      </w:r>
      <w:r w:rsidRPr="00BB70D5">
        <w:rPr>
          <w:rFonts w:ascii="Arial" w:hAnsi="Arial" w:cs="Arial"/>
          <w:color w:val="A6A6A6" w:themeColor="background1" w:themeShade="A6"/>
          <w:sz w:val="16"/>
          <w:szCs w:val="16"/>
        </w:rPr>
        <w:t xml:space="preserve">states this as the default position, but allows for the MOI to determine otherwise. You can amend this clause to state, for instance, that if a quorum is </w:t>
      </w:r>
      <w:r w:rsidR="006A005A">
        <w:rPr>
          <w:rFonts w:ascii="Arial" w:hAnsi="Arial" w:cs="Arial"/>
          <w:color w:val="A6A6A6" w:themeColor="background1" w:themeShade="A6"/>
          <w:sz w:val="16"/>
          <w:szCs w:val="16"/>
        </w:rPr>
        <w:t>"</w:t>
      </w:r>
      <w:r w:rsidRPr="00BB70D5">
        <w:rPr>
          <w:rFonts w:ascii="Arial" w:hAnsi="Arial" w:cs="Arial"/>
          <w:color w:val="A6A6A6" w:themeColor="background1" w:themeShade="A6"/>
          <w:sz w:val="16"/>
          <w:szCs w:val="16"/>
        </w:rPr>
        <w:t>lost</w:t>
      </w:r>
      <w:r w:rsidR="006A005A">
        <w:rPr>
          <w:rFonts w:ascii="Arial" w:hAnsi="Arial" w:cs="Arial"/>
          <w:color w:val="A6A6A6" w:themeColor="background1" w:themeShade="A6"/>
          <w:sz w:val="16"/>
          <w:szCs w:val="16"/>
        </w:rPr>
        <w:t>"</w:t>
      </w:r>
      <w:r w:rsidRPr="00BB70D5">
        <w:rPr>
          <w:rFonts w:ascii="Arial" w:hAnsi="Arial" w:cs="Arial"/>
          <w:color w:val="A6A6A6" w:themeColor="background1" w:themeShade="A6"/>
          <w:sz w:val="16"/>
          <w:szCs w:val="16"/>
        </w:rPr>
        <w:t xml:space="preserve"> during a meeting as a result of someone leaving the meeting, then the meeting should be ceased. However, this may be dangerous as it may allow shareholders to frustrate meeting procedures by leaving before resolutions are passed (to render resolutions passed invalid for a lack of quorum). This will be important if there are more than 2 shareholders (a quorum of 3 is required). If 2 shareholders represent enough votes to pass a resolution, but a quorum is </w:t>
      </w:r>
      <w:r w:rsidR="006A005A">
        <w:rPr>
          <w:rFonts w:ascii="Arial" w:hAnsi="Arial" w:cs="Arial"/>
          <w:color w:val="A6A6A6" w:themeColor="background1" w:themeShade="A6"/>
          <w:sz w:val="16"/>
          <w:szCs w:val="16"/>
        </w:rPr>
        <w:t>"</w:t>
      </w:r>
      <w:r w:rsidRPr="00BB70D5">
        <w:rPr>
          <w:rFonts w:ascii="Arial" w:hAnsi="Arial" w:cs="Arial"/>
          <w:color w:val="A6A6A6" w:themeColor="background1" w:themeShade="A6"/>
          <w:sz w:val="16"/>
          <w:szCs w:val="16"/>
        </w:rPr>
        <w:t>lost</w:t>
      </w:r>
      <w:r w:rsidR="006A005A">
        <w:rPr>
          <w:rFonts w:ascii="Arial" w:hAnsi="Arial" w:cs="Arial"/>
          <w:color w:val="A6A6A6" w:themeColor="background1" w:themeShade="A6"/>
          <w:sz w:val="16"/>
          <w:szCs w:val="16"/>
        </w:rPr>
        <w:t>"</w:t>
      </w:r>
      <w:r w:rsidRPr="00BB70D5">
        <w:rPr>
          <w:rFonts w:ascii="Arial" w:hAnsi="Arial" w:cs="Arial"/>
          <w:color w:val="A6A6A6" w:themeColor="background1" w:themeShade="A6"/>
          <w:sz w:val="16"/>
          <w:szCs w:val="16"/>
        </w:rPr>
        <w:t xml:space="preserve"> the meeting will have to cease if one shareholder leaves the meeting.</w:t>
      </w:r>
    </w:p>
  </w:footnote>
  <w:footnote w:id="59">
    <w:p w14:paraId="497C4E1F"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64(4)(a) read with section 64(6)(a):</w:t>
      </w:r>
      <w:r w:rsidRPr="00BB70D5">
        <w:rPr>
          <w:rFonts w:cs="Arial"/>
          <w:color w:val="A6A6A6" w:themeColor="background1" w:themeShade="A6"/>
          <w:sz w:val="16"/>
          <w:szCs w:val="16"/>
        </w:rPr>
        <w:t xml:space="preserve"> the MOI can determine a different time period – for example, it could be two hours.</w:t>
      </w:r>
    </w:p>
  </w:footnote>
  <w:footnote w:id="60">
    <w:p w14:paraId="7F8C17FE" w14:textId="77777777" w:rsidR="001D2620" w:rsidRPr="00BB70D5" w:rsidRDefault="001D262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64(4)(a) read with section 64(6)(b):</w:t>
      </w:r>
      <w:r w:rsidRPr="00BB70D5">
        <w:rPr>
          <w:rFonts w:cs="Arial"/>
          <w:color w:val="A6A6A6" w:themeColor="background1" w:themeShade="A6"/>
          <w:sz w:val="16"/>
          <w:szCs w:val="16"/>
        </w:rPr>
        <w:t xml:space="preserve"> the MOI can determine a different time period – for example, five days.</w:t>
      </w:r>
    </w:p>
  </w:footnote>
  <w:footnote w:id="61">
    <w:p w14:paraId="1ED2E856" w14:textId="77777777" w:rsidR="001D2620" w:rsidRPr="00AD1F75" w:rsidRDefault="001D2620"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64(8):</w:t>
      </w:r>
      <w:r w:rsidRPr="00BB70D5">
        <w:rPr>
          <w:rFonts w:cs="Arial"/>
          <w:color w:val="A6A6A6" w:themeColor="background1" w:themeShade="A6"/>
          <w:sz w:val="16"/>
          <w:szCs w:val="16"/>
        </w:rPr>
        <w:t xml:space="preserve"> provides that if, at the time appointed for a postponed meeting to begin, or for an adjourned meeting to resume, the quorum requirements have not been satisfied, the shareholders present in person (or represented by proxy) will be deemed to constitute a quorum.</w:t>
      </w:r>
    </w:p>
  </w:footnote>
  <w:footnote w:id="62">
    <w:p w14:paraId="2A00CCE6" w14:textId="77777777" w:rsidR="001D2620" w:rsidRPr="00BB70D5" w:rsidRDefault="001D2620"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AD1F75">
        <w:rPr>
          <w:rStyle w:val="FootnoteReference"/>
          <w:rFonts w:ascii="Arial" w:hAnsi="Arial" w:cs="Arial"/>
          <w:sz w:val="16"/>
          <w:szCs w:val="16"/>
        </w:rPr>
        <w:footnoteRef/>
      </w:r>
      <w:r w:rsidRPr="00AD1F75">
        <w:rPr>
          <w:rFonts w:ascii="Arial" w:hAnsi="Arial" w:cs="Arial"/>
          <w:sz w:val="16"/>
          <w:szCs w:val="16"/>
        </w:rPr>
        <w:t xml:space="preserve"> </w:t>
      </w:r>
      <w:r w:rsidRPr="00BB70D5">
        <w:rPr>
          <w:rFonts w:ascii="Arial" w:hAnsi="Arial" w:cs="Arial"/>
          <w:b/>
          <w:bCs/>
          <w:color w:val="A6A6A6" w:themeColor="background1" w:themeShade="A6"/>
          <w:sz w:val="16"/>
          <w:szCs w:val="16"/>
        </w:rPr>
        <w:t>Unalterable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64(7):</w:t>
      </w:r>
      <w:r w:rsidRPr="00BB70D5">
        <w:rPr>
          <w:rFonts w:ascii="Arial" w:hAnsi="Arial" w:cs="Arial"/>
          <w:color w:val="A6A6A6" w:themeColor="background1" w:themeShade="A6"/>
          <w:sz w:val="16"/>
          <w:szCs w:val="16"/>
        </w:rPr>
        <w:t xml:space="preserve"> sets out this this unalterable provision.</w:t>
      </w:r>
      <w:r w:rsidR="00703860" w:rsidRPr="00BB70D5">
        <w:rPr>
          <w:rFonts w:ascii="Arial" w:hAnsi="Arial" w:cs="Arial"/>
          <w:color w:val="A6A6A6" w:themeColor="background1" w:themeShade="A6"/>
          <w:sz w:val="16"/>
          <w:szCs w:val="16"/>
        </w:rPr>
        <w:t xml:space="preserve"> S</w:t>
      </w:r>
      <w:r w:rsidRPr="00BB70D5">
        <w:rPr>
          <w:rFonts w:ascii="Arial" w:hAnsi="Arial" w:cs="Arial"/>
          <w:color w:val="A6A6A6" w:themeColor="background1" w:themeShade="A6"/>
          <w:sz w:val="16"/>
          <w:szCs w:val="16"/>
        </w:rPr>
        <w:t>ection 15(2)(a)(iii) of the Companies Act provides that the MOI of a company may impose a higher standard, greater restriction, longer period of time or any similarly more onerous requirement, than would otherwise apply to the company in terms of an unalterable provision of the Companies Act.</w:t>
      </w:r>
      <w:r w:rsidR="00703860" w:rsidRPr="00BB70D5">
        <w:rPr>
          <w:rFonts w:ascii="Arial" w:hAnsi="Arial" w:cs="Arial"/>
          <w:color w:val="A6A6A6" w:themeColor="background1" w:themeShade="A6"/>
          <w:sz w:val="16"/>
          <w:szCs w:val="16"/>
        </w:rPr>
        <w:t xml:space="preserve"> </w:t>
      </w:r>
      <w:r w:rsidRPr="00BB70D5">
        <w:rPr>
          <w:rFonts w:ascii="Arial" w:hAnsi="Arial" w:cs="Arial"/>
          <w:color w:val="A6A6A6" w:themeColor="background1" w:themeShade="A6"/>
          <w:sz w:val="16"/>
          <w:szCs w:val="16"/>
        </w:rPr>
        <w:t xml:space="preserve">For example, the MOI could provide that the company </w:t>
      </w:r>
      <w:r w:rsidRPr="00BB70D5">
        <w:rPr>
          <w:rFonts w:ascii="Arial" w:hAnsi="Arial" w:cs="Arial"/>
          <w:color w:val="A6A6A6" w:themeColor="background1" w:themeShade="A6"/>
          <w:sz w:val="16"/>
          <w:szCs w:val="16"/>
          <w:u w:val="single"/>
        </w:rPr>
        <w:t>must</w:t>
      </w:r>
      <w:r w:rsidRPr="00BB70D5">
        <w:rPr>
          <w:rFonts w:ascii="Arial" w:hAnsi="Arial" w:cs="Arial"/>
          <w:color w:val="A6A6A6" w:themeColor="background1" w:themeShade="A6"/>
          <w:sz w:val="16"/>
          <w:szCs w:val="16"/>
        </w:rPr>
        <w:t xml:space="preserve"> send out a further notice of a shareholders' meeting that has been postponed or adjourned.</w:t>
      </w:r>
    </w:p>
  </w:footnote>
  <w:footnote w:id="63">
    <w:p w14:paraId="7507D36C" w14:textId="77777777" w:rsidR="00703860" w:rsidRPr="00BB70D5" w:rsidRDefault="0070386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64(10): </w:t>
      </w:r>
      <w:r w:rsidRPr="00BB70D5">
        <w:rPr>
          <w:rFonts w:cs="Arial"/>
          <w:color w:val="A6A6A6" w:themeColor="background1" w:themeShade="A6"/>
          <w:sz w:val="16"/>
          <w:szCs w:val="16"/>
        </w:rPr>
        <w:t>sets out this unalterable provision.</w:t>
      </w:r>
    </w:p>
  </w:footnote>
  <w:footnote w:id="64">
    <w:p w14:paraId="42B81032" w14:textId="77777777" w:rsidR="00703860" w:rsidRPr="00BB70D5" w:rsidRDefault="0070386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64(11): </w:t>
      </w:r>
      <w:r w:rsidRPr="00BB70D5">
        <w:rPr>
          <w:rFonts w:cs="Arial"/>
          <w:color w:val="A6A6A6" w:themeColor="background1" w:themeShade="A6"/>
          <w:sz w:val="16"/>
          <w:szCs w:val="16"/>
        </w:rPr>
        <w:t>sets out this unalterable provision.</w:t>
      </w:r>
    </w:p>
  </w:footnote>
  <w:footnote w:id="65">
    <w:p w14:paraId="12B34E7B" w14:textId="77777777" w:rsidR="00703860" w:rsidRPr="00AD1F75" w:rsidRDefault="00703860"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Sections 64(12) and (13):</w:t>
      </w:r>
      <w:r w:rsidRPr="00BB70D5">
        <w:rPr>
          <w:rFonts w:cs="Arial"/>
          <w:color w:val="A6A6A6" w:themeColor="background1" w:themeShade="A6"/>
          <w:sz w:val="16"/>
          <w:szCs w:val="16"/>
        </w:rPr>
        <w:t xml:space="preserve"> the MOI may provide for different maximum periods, or for unlimited adjournment of meetings.</w:t>
      </w:r>
    </w:p>
  </w:footnote>
  <w:footnote w:id="66">
    <w:p w14:paraId="1AE19FC8" w14:textId="77777777" w:rsidR="00703860" w:rsidRPr="00BB70D5" w:rsidRDefault="00703860" w:rsidP="00351466">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63(4): </w:t>
      </w:r>
      <w:r w:rsidRPr="00BB70D5">
        <w:rPr>
          <w:rFonts w:cs="Arial"/>
          <w:color w:val="A6A6A6" w:themeColor="background1" w:themeShade="A6"/>
          <w:sz w:val="16"/>
          <w:szCs w:val="16"/>
        </w:rPr>
        <w:t>allows for voting at a shareholders' meeting to be either by a poll or a show of hands.</w:t>
      </w:r>
    </w:p>
  </w:footnote>
  <w:footnote w:id="67">
    <w:p w14:paraId="6D21044E" w14:textId="77777777" w:rsidR="00703860" w:rsidRPr="00AD1F75" w:rsidRDefault="00703860"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63(6): </w:t>
      </w:r>
      <w:r w:rsidRPr="00BB70D5">
        <w:rPr>
          <w:rFonts w:cs="Arial"/>
          <w:color w:val="A6A6A6" w:themeColor="background1" w:themeShade="A6"/>
          <w:sz w:val="16"/>
          <w:szCs w:val="16"/>
        </w:rPr>
        <w:t>if voting is conducted by a poll, shareholders’ votes are linked to the number of voting rights associated with the securities held by that shareholder (regardless of whether the shareholder is exercising the votes himself or if they are being exercised by a proxy).</w:t>
      </w:r>
    </w:p>
  </w:footnote>
  <w:footnote w:id="68">
    <w:p w14:paraId="4411C3AE" w14:textId="77777777" w:rsidR="00703860" w:rsidRPr="00BB70D5" w:rsidRDefault="00703860"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AD1F75">
        <w:rPr>
          <w:rStyle w:val="FootnoteReference"/>
          <w:rFonts w:ascii="Arial" w:hAnsi="Arial" w:cs="Arial"/>
          <w:sz w:val="16"/>
          <w:szCs w:val="16"/>
        </w:rPr>
        <w:footnoteRef/>
      </w:r>
      <w:r w:rsidRPr="00AD1F75">
        <w:rPr>
          <w:rFonts w:ascii="Arial" w:hAnsi="Arial" w:cs="Arial"/>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 xml:space="preserve">Section 60(1), read with section 60(5): </w:t>
      </w:r>
      <w:r w:rsidRPr="00BB70D5">
        <w:rPr>
          <w:rFonts w:ascii="Arial" w:hAnsi="Arial" w:cs="Arial"/>
          <w:color w:val="A6A6A6" w:themeColor="background1" w:themeShade="A6"/>
          <w:sz w:val="16"/>
          <w:szCs w:val="16"/>
        </w:rPr>
        <w:t>a resolution that could be voted on at a shareholders' meeting may be submitted to the relevant shareholders and voted on in writing, except if it relates to any business of a company that is required by the Companies Act or the MOI to be conducted at a meeting. The MOI can therefore require certain resolutions (in addition to those required by the Companies Act) that have to be taken at a meeting (and not round robin). This can be done if your client instructs you to do so, but it may complicate and delay the process of passing resolutions considerably.</w:t>
      </w:r>
    </w:p>
  </w:footnote>
  <w:footnote w:id="69">
    <w:p w14:paraId="4F714515" w14:textId="77777777" w:rsidR="00703860" w:rsidRPr="00BB70D5" w:rsidRDefault="00703860"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65(1): </w:t>
      </w:r>
      <w:r w:rsidRPr="00BB70D5">
        <w:rPr>
          <w:rFonts w:cs="Arial"/>
          <w:color w:val="A6A6A6" w:themeColor="background1" w:themeShade="A6"/>
          <w:sz w:val="16"/>
          <w:szCs w:val="16"/>
        </w:rPr>
        <w:t>sets out this unalterable provision.</w:t>
      </w:r>
    </w:p>
  </w:footnote>
  <w:footnote w:id="70">
    <w:p w14:paraId="5955F81F" w14:textId="77777777" w:rsidR="00703860" w:rsidRPr="00BB70D5" w:rsidRDefault="00703860"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provisions:</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Sections 65(7) and (8), read with section 71(1):</w:t>
      </w:r>
      <w:r w:rsidRPr="00BB70D5">
        <w:rPr>
          <w:rFonts w:ascii="Arial" w:hAnsi="Arial" w:cs="Arial"/>
          <w:color w:val="A6A6A6" w:themeColor="background1" w:themeShade="A6"/>
          <w:sz w:val="16"/>
          <w:szCs w:val="16"/>
        </w:rPr>
        <w:t xml:space="preserve"> an ordinary resolution must be passed with the approval of more than 50% of the voting rights exercised on the resolution – although the MOI may require a </w:t>
      </w:r>
      <w:r w:rsidRPr="00BB70D5">
        <w:rPr>
          <w:rFonts w:ascii="Arial" w:hAnsi="Arial" w:cs="Arial"/>
          <w:b/>
          <w:bCs/>
          <w:color w:val="A6A6A6" w:themeColor="background1" w:themeShade="A6"/>
          <w:sz w:val="16"/>
          <w:szCs w:val="16"/>
          <w:u w:val="single"/>
        </w:rPr>
        <w:t>higher percentage</w:t>
      </w:r>
      <w:r w:rsidRPr="00BB70D5">
        <w:rPr>
          <w:rFonts w:ascii="Arial" w:hAnsi="Arial" w:cs="Arial"/>
          <w:color w:val="A6A6A6" w:themeColor="background1" w:themeShade="A6"/>
          <w:sz w:val="16"/>
          <w:szCs w:val="16"/>
        </w:rPr>
        <w:t xml:space="preserve"> of voting rights to approve an ordinary resolution, provided that there must always be a 10% difference between the highest possible established requirements for the approval of an ordinary resolution and the lowest established requirement for the approval of a special resolution. Note that the ordinary resolution threshold for the removal of a director cannot be amended.</w:t>
      </w:r>
    </w:p>
  </w:footnote>
  <w:footnote w:id="71">
    <w:p w14:paraId="7C555BBE" w14:textId="77777777" w:rsidR="00703860" w:rsidRPr="00BB70D5" w:rsidRDefault="00703860"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provisions: </w:t>
      </w:r>
      <w:r w:rsidRPr="00BB70D5">
        <w:rPr>
          <w:rFonts w:ascii="Arial" w:hAnsi="Arial" w:cs="Arial"/>
          <w:b/>
          <w:bCs/>
          <w:i/>
          <w:iCs/>
          <w:color w:val="A6A6A6" w:themeColor="background1" w:themeShade="A6"/>
          <w:sz w:val="16"/>
          <w:szCs w:val="16"/>
        </w:rPr>
        <w:t>Sections 65(9) and (10):</w:t>
      </w:r>
      <w:r w:rsidRPr="00BB70D5">
        <w:rPr>
          <w:rFonts w:ascii="Arial" w:hAnsi="Arial" w:cs="Arial"/>
          <w:color w:val="A6A6A6" w:themeColor="background1" w:themeShade="A6"/>
          <w:sz w:val="16"/>
          <w:szCs w:val="16"/>
        </w:rPr>
        <w:t xml:space="preserve"> a special resolution must be passed with the approval of at least 75% of the voting rights exercised on the resolution – although the MOI may permit a </w:t>
      </w:r>
      <w:r w:rsidRPr="00BB70D5">
        <w:rPr>
          <w:rFonts w:ascii="Arial" w:hAnsi="Arial" w:cs="Arial"/>
          <w:b/>
          <w:bCs/>
          <w:color w:val="A6A6A6" w:themeColor="background1" w:themeShade="A6"/>
          <w:sz w:val="16"/>
          <w:szCs w:val="16"/>
          <w:u w:val="single"/>
        </w:rPr>
        <w:t>different percentage</w:t>
      </w:r>
      <w:r w:rsidRPr="00BB70D5">
        <w:rPr>
          <w:rFonts w:ascii="Arial" w:hAnsi="Arial" w:cs="Arial"/>
          <w:color w:val="A6A6A6" w:themeColor="background1" w:themeShade="A6"/>
          <w:sz w:val="16"/>
          <w:szCs w:val="16"/>
          <w:u w:val="single"/>
        </w:rPr>
        <w:t xml:space="preserve"> </w:t>
      </w:r>
      <w:r w:rsidRPr="00BB70D5">
        <w:rPr>
          <w:rFonts w:ascii="Arial" w:hAnsi="Arial" w:cs="Arial"/>
          <w:color w:val="A6A6A6" w:themeColor="background1" w:themeShade="A6"/>
          <w:sz w:val="16"/>
          <w:szCs w:val="16"/>
        </w:rPr>
        <w:t>of voting rights to approve any special resolution, provided that there must always be 10% difference between the highest established requirements for the approval of an ordinary resolution and the lowest established requirement for the approval of a special resolution. Note further that in terms of section 65(12) of the Companies Act, a company's MOI may require special resolutions to approve any other matters not already contemplated in section 65(11) of the Companies Act.</w:t>
      </w:r>
    </w:p>
    <w:p w14:paraId="71AD8FDE" w14:textId="77777777" w:rsidR="00703860" w:rsidRPr="00BB70D5" w:rsidRDefault="00703860" w:rsidP="00351466">
      <w:pPr>
        <w:pStyle w:val="FootnoteText"/>
        <w:keepNext/>
        <w:keepLines/>
        <w:spacing w:after="0" w:line="240" w:lineRule="auto"/>
        <w:rPr>
          <w:rFonts w:cs="Arial"/>
          <w:color w:val="A6A6A6" w:themeColor="background1" w:themeShade="A6"/>
          <w:sz w:val="16"/>
          <w:szCs w:val="16"/>
          <w:lang w:val="en-ZA"/>
        </w:rPr>
      </w:pPr>
    </w:p>
  </w:footnote>
  <w:footnote w:id="72">
    <w:p w14:paraId="47EE11F0" w14:textId="77777777" w:rsidR="00703860" w:rsidRPr="00AD1F75" w:rsidRDefault="00703860"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59(2)(a): </w:t>
      </w:r>
      <w:r w:rsidRPr="00BB70D5">
        <w:rPr>
          <w:rFonts w:cs="Arial"/>
          <w:color w:val="A6A6A6" w:themeColor="background1" w:themeShade="A6"/>
          <w:sz w:val="16"/>
          <w:szCs w:val="16"/>
        </w:rPr>
        <w:t>sets out this unalterable provision.</w:t>
      </w:r>
    </w:p>
  </w:footnote>
  <w:footnote w:id="73">
    <w:p w14:paraId="66BD2037" w14:textId="77777777" w:rsidR="00703860" w:rsidRPr="00BB70D5" w:rsidRDefault="00703860" w:rsidP="00351466">
      <w:pPr>
        <w:pStyle w:val="FootnoteText"/>
        <w:keepNext/>
        <w:keepLines/>
        <w:spacing w:after="0" w:line="240" w:lineRule="auto"/>
        <w:rPr>
          <w:rFonts w:cs="Arial"/>
          <w:color w:val="A6A6A6" w:themeColor="background1" w:themeShade="A6"/>
          <w:sz w:val="16"/>
          <w:szCs w:val="16"/>
          <w:lang w:val="en-ZA"/>
        </w:rPr>
      </w:pPr>
      <w:r w:rsidRPr="00AD1F75">
        <w:rPr>
          <w:rStyle w:val="FootnoteReference"/>
          <w:rFonts w:cs="Arial"/>
          <w:sz w:val="16"/>
          <w:szCs w:val="16"/>
        </w:rPr>
        <w:footnoteRef/>
      </w:r>
      <w:r w:rsidRPr="00AD1F75">
        <w:rPr>
          <w:rFonts w:cs="Arial"/>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59(3):</w:t>
      </w:r>
      <w:r w:rsidRPr="00BB70D5">
        <w:rPr>
          <w:rFonts w:cs="Arial"/>
          <w:color w:val="A6A6A6" w:themeColor="background1" w:themeShade="A6"/>
          <w:sz w:val="16"/>
          <w:szCs w:val="16"/>
        </w:rPr>
        <w:t xml:space="preserve"> if the board does not determine the record date, then the default position in terms of this section is as reflected in this clause – the MOI or rules can provide otherwise.</w:t>
      </w:r>
    </w:p>
  </w:footnote>
  <w:footnote w:id="74">
    <w:p w14:paraId="3AA991B3" w14:textId="77777777" w:rsidR="00096D8F" w:rsidRPr="00AD1F75" w:rsidRDefault="00096D8F" w:rsidP="00096D8F">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59(2)(b): </w:t>
      </w:r>
      <w:r w:rsidRPr="00BB70D5">
        <w:rPr>
          <w:rFonts w:cs="Arial"/>
          <w:color w:val="A6A6A6" w:themeColor="background1" w:themeShade="A6"/>
          <w:sz w:val="16"/>
          <w:szCs w:val="16"/>
        </w:rPr>
        <w:t>provides that a record date determined by the board of directors of a company must be published to the shareholders in a manner that satisfies any prescribed requirements.</w:t>
      </w:r>
    </w:p>
  </w:footnote>
  <w:footnote w:id="75">
    <w:p w14:paraId="1AB64FF4" w14:textId="77777777" w:rsidR="00E86A71" w:rsidRDefault="00E86A71" w:rsidP="00351466">
      <w:pPr>
        <w:pStyle w:val="FootnoteText"/>
        <w:keepNext/>
        <w:keepLines/>
        <w:spacing w:after="0" w:line="240" w:lineRule="auto"/>
        <w:rPr>
          <w:rFonts w:cs="Arial"/>
          <w:color w:val="A6A6A6" w:themeColor="background1" w:themeShade="A6"/>
          <w:sz w:val="16"/>
          <w:szCs w:val="16"/>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provisions:</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66(4)(a)(ii), read with section 66(5)(a): </w:t>
      </w:r>
      <w:r w:rsidRPr="00BB70D5">
        <w:rPr>
          <w:rFonts w:cs="Arial"/>
          <w:color w:val="A6A6A6" w:themeColor="background1" w:themeShade="A6"/>
          <w:sz w:val="16"/>
          <w:szCs w:val="16"/>
        </w:rPr>
        <w:t xml:space="preserve">an MOI may provide for a person to be an </w:t>
      </w:r>
      <w:r w:rsidRPr="00BB70D5">
        <w:rPr>
          <w:rFonts w:cs="Arial"/>
          <w:i/>
          <w:iCs/>
          <w:color w:val="A6A6A6" w:themeColor="background1" w:themeShade="A6"/>
          <w:sz w:val="16"/>
          <w:szCs w:val="16"/>
        </w:rPr>
        <w:t>ex officio</w:t>
      </w:r>
      <w:r w:rsidRPr="00BB70D5">
        <w:rPr>
          <w:rFonts w:cs="Arial"/>
          <w:color w:val="A6A6A6" w:themeColor="background1" w:themeShade="A6"/>
          <w:sz w:val="16"/>
          <w:szCs w:val="16"/>
        </w:rPr>
        <w:t xml:space="preserve"> director, unless that person becomes ineligible or disqualified in terms of section 69 of the Companies Act. This means that a person may become a director by virtue of his role in the company, for example, the CEO. It is best not to amend the MOI to include this, as shareholders can rather appoint key persons as directors than to have them become directors by virtue of their role in the company. Key executives may be prescribed officers (i.e. deemed directors).</w:t>
      </w:r>
    </w:p>
    <w:p w14:paraId="0926797D" w14:textId="77777777" w:rsidR="00BB70D5" w:rsidRPr="00AD1F75" w:rsidRDefault="00BB70D5" w:rsidP="00351466">
      <w:pPr>
        <w:pStyle w:val="FootnoteText"/>
        <w:keepNext/>
        <w:keepLines/>
        <w:spacing w:after="0" w:line="240" w:lineRule="auto"/>
        <w:rPr>
          <w:rFonts w:cs="Arial"/>
          <w:sz w:val="16"/>
          <w:szCs w:val="16"/>
          <w:lang w:val="en-ZA"/>
        </w:rPr>
      </w:pPr>
    </w:p>
  </w:footnote>
  <w:footnote w:id="76">
    <w:p w14:paraId="61168D50" w14:textId="77777777" w:rsidR="007E5EF0" w:rsidRPr="00AD1F75" w:rsidRDefault="007E5EF0" w:rsidP="00BB70D5">
      <w:pPr>
        <w:pStyle w:val="FootnoteText"/>
        <w:spacing w:after="0" w:line="240" w:lineRule="auto"/>
        <w:rPr>
          <w:rFonts w:cs="Arial"/>
          <w:sz w:val="16"/>
          <w:szCs w:val="16"/>
        </w:rPr>
      </w:pPr>
      <w:r w:rsidRPr="00AD1F75">
        <w:rPr>
          <w:rStyle w:val="FootnoteReference"/>
          <w:rFonts w:cs="Arial"/>
          <w:sz w:val="16"/>
          <w:szCs w:val="16"/>
        </w:rPr>
        <w:footnoteRef/>
      </w:r>
      <w:r w:rsidRPr="00AD1F75">
        <w:rPr>
          <w:rFonts w:cs="Arial"/>
          <w:sz w:val="16"/>
          <w:szCs w:val="16"/>
        </w:rPr>
        <w:t xml:space="preserve">  Additional directors can be nominated, such as </w:t>
      </w:r>
    </w:p>
    <w:p w14:paraId="4EDECD88" w14:textId="17B72705" w:rsidR="007E5EF0" w:rsidRPr="007E5EF0" w:rsidRDefault="006A005A" w:rsidP="00BB70D5">
      <w:pPr>
        <w:pStyle w:val="FootnoteText"/>
        <w:numPr>
          <w:ilvl w:val="0"/>
          <w:numId w:val="76"/>
        </w:numPr>
        <w:spacing w:after="0" w:line="240" w:lineRule="auto"/>
        <w:rPr>
          <w:rFonts w:cs="Arial"/>
          <w:i/>
          <w:iCs/>
          <w:sz w:val="16"/>
          <w:szCs w:val="16"/>
          <w:lang w:val="en-ZA"/>
        </w:rPr>
      </w:pPr>
      <w:r>
        <w:rPr>
          <w:rFonts w:cs="Arial"/>
          <w:i/>
          <w:iCs/>
          <w:sz w:val="16"/>
          <w:szCs w:val="16"/>
        </w:rPr>
        <w:t>"</w:t>
      </w:r>
      <w:r w:rsidR="007E5EF0" w:rsidRPr="007E5EF0">
        <w:rPr>
          <w:rFonts w:cs="Arial"/>
          <w:i/>
          <w:iCs/>
          <w:sz w:val="16"/>
          <w:szCs w:val="16"/>
          <w:lang w:val="en-ZA"/>
        </w:rPr>
        <w:t>The person serving as the Chief Executive Officer of the Company at any given time, who shall be appointed as an executive director; and</w:t>
      </w:r>
      <w:r w:rsidR="007E5EF0" w:rsidRPr="00AD1F75">
        <w:rPr>
          <w:rFonts w:cs="Arial"/>
          <w:i/>
          <w:iCs/>
          <w:sz w:val="16"/>
          <w:szCs w:val="16"/>
          <w:lang w:val="en-ZA"/>
        </w:rPr>
        <w:t xml:space="preserve">  </w:t>
      </w:r>
    </w:p>
    <w:p w14:paraId="38FB0BDC" w14:textId="414E1277" w:rsidR="007E5EF0" w:rsidRPr="00BB70D5" w:rsidRDefault="007E5EF0" w:rsidP="00BB70D5">
      <w:pPr>
        <w:pStyle w:val="FootnoteText"/>
        <w:numPr>
          <w:ilvl w:val="0"/>
          <w:numId w:val="76"/>
        </w:numPr>
        <w:spacing w:after="0" w:line="240" w:lineRule="auto"/>
        <w:rPr>
          <w:rFonts w:cs="Arial"/>
          <w:sz w:val="16"/>
          <w:szCs w:val="16"/>
          <w:lang w:val="en-US"/>
        </w:rPr>
      </w:pPr>
      <w:r w:rsidRPr="00AD1F75">
        <w:rPr>
          <w:rFonts w:cs="Arial"/>
          <w:i/>
          <w:iCs/>
          <w:sz w:val="16"/>
          <w:szCs w:val="16"/>
          <w:lang w:val="en-ZA"/>
        </w:rPr>
        <w:t xml:space="preserve">an </w:t>
      </w:r>
      <w:r w:rsidRPr="007E5EF0">
        <w:rPr>
          <w:rFonts w:cs="Arial"/>
          <w:i/>
          <w:iCs/>
          <w:sz w:val="16"/>
          <w:szCs w:val="16"/>
          <w:lang w:val="en-ZA"/>
        </w:rPr>
        <w:t>independent, non-executive director, as mutually agreed upon by a resolution of the Shareholders.</w:t>
      </w:r>
    </w:p>
    <w:p w14:paraId="176CBAFC" w14:textId="77777777" w:rsidR="00BB70D5" w:rsidRPr="00AD1F75" w:rsidRDefault="00BB70D5" w:rsidP="00BB70D5">
      <w:pPr>
        <w:pStyle w:val="FootnoteText"/>
        <w:spacing w:after="0" w:line="240" w:lineRule="auto"/>
        <w:ind w:left="720"/>
        <w:rPr>
          <w:rFonts w:cs="Arial"/>
          <w:sz w:val="16"/>
          <w:szCs w:val="16"/>
          <w:lang w:val="en-US"/>
        </w:rPr>
      </w:pPr>
    </w:p>
  </w:footnote>
  <w:footnote w:id="77">
    <w:p w14:paraId="3DE98E07" w14:textId="77777777" w:rsidR="00A1625F" w:rsidRPr="00BB70D5" w:rsidRDefault="00A1625F" w:rsidP="00A1625F">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 66(4)(a)(iii):</w:t>
      </w:r>
      <w:r w:rsidRPr="00BB70D5">
        <w:rPr>
          <w:rFonts w:ascii="Arial" w:hAnsi="Arial" w:cs="Arial"/>
          <w:color w:val="A6A6A6" w:themeColor="background1" w:themeShade="A6"/>
          <w:sz w:val="16"/>
          <w:szCs w:val="16"/>
        </w:rPr>
        <w:t xml:space="preserve"> an MOI may provide for the appointment or election of one or more persons as alternate directors, but this should be done with caution as it can add extra layers of complexity to the governance structures of the company.</w:t>
      </w:r>
    </w:p>
    <w:p w14:paraId="43FA6BF9" w14:textId="77777777" w:rsidR="00A1625F" w:rsidRPr="00BB70D5" w:rsidRDefault="00A1625F" w:rsidP="00A1625F">
      <w:pPr>
        <w:keepNext/>
        <w:keepLines/>
        <w:spacing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 xml:space="preserve">►►►RED FLAG►►►: </w:t>
      </w:r>
      <w:r w:rsidRPr="00BB70D5">
        <w:rPr>
          <w:rFonts w:cs="Arial"/>
          <w:color w:val="A6A6A6" w:themeColor="background1" w:themeShade="A6"/>
          <w:sz w:val="16"/>
          <w:szCs w:val="16"/>
          <w:lang w:eastAsia="en-ZA"/>
        </w:rPr>
        <w:t>The directors are appointed to have a certain skill set and knowledge about the affairs of the company. If any director may appoint an alternate director, this means that the alternate director will need to exercise his/her discretion with no / limited insight into the company’s business and affairs. This is different from shareholders appointing proxies, as shareholders vote in their own interest, while directors have to act in the best interest of the company, which may not be possible with limited knowledge or expertise.</w:t>
      </w:r>
    </w:p>
  </w:footnote>
  <w:footnote w:id="78">
    <w:p w14:paraId="3966226C" w14:textId="77777777" w:rsidR="00A1625F" w:rsidRPr="00BB70D5" w:rsidRDefault="00A1625F" w:rsidP="00A1625F">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Alterable provisions</w:t>
      </w:r>
      <w:r w:rsidRPr="00BB70D5">
        <w:rPr>
          <w:rFonts w:ascii="Arial" w:hAnsi="Arial" w:cs="Arial"/>
          <w:b/>
          <w:bCs/>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66(4)(a)(i):</w:t>
      </w:r>
      <w:r w:rsidRPr="00BB70D5">
        <w:rPr>
          <w:rFonts w:ascii="Arial" w:hAnsi="Arial" w:cs="Arial"/>
          <w:color w:val="A6A6A6" w:themeColor="background1" w:themeShade="A6"/>
          <w:sz w:val="16"/>
          <w:szCs w:val="16"/>
        </w:rPr>
        <w:t xml:space="preserve"> an MOI may provide for the direct appointment and removal of directors by any person who is named in, or determined in terms of, the MOI (even non-shareholders who are not directors, for example creditors). </w:t>
      </w:r>
      <w:r w:rsidRPr="00BB70D5">
        <w:rPr>
          <w:rFonts w:ascii="Arial" w:hAnsi="Arial" w:cs="Arial"/>
          <w:b/>
          <w:bCs/>
          <w:i/>
          <w:iCs/>
          <w:color w:val="A6A6A6" w:themeColor="background1" w:themeShade="A6"/>
          <w:sz w:val="16"/>
          <w:szCs w:val="16"/>
        </w:rPr>
        <w:t>Section 68(1), read with section 68(3):</w:t>
      </w:r>
      <w:r w:rsidRPr="00BB70D5">
        <w:rPr>
          <w:rFonts w:ascii="Arial" w:hAnsi="Arial" w:cs="Arial"/>
          <w:color w:val="A6A6A6" w:themeColor="background1" w:themeShade="A6"/>
          <w:sz w:val="16"/>
          <w:szCs w:val="16"/>
        </w:rPr>
        <w:t xml:space="preserve"> each director must be elected by the persons entitled to exercise voting rights to serve for indefinite terms or for a term as set out in the MOI, except for temporary directors, who may be appointed by the board. Such temporary directors have all the powers, functions and duties, and are subject to all of the liabilities, of any other director, unless the MOI provides otherwise.</w:t>
      </w:r>
    </w:p>
  </w:footnote>
  <w:footnote w:id="79">
    <w:p w14:paraId="1E434C73" w14:textId="0D915E21" w:rsidR="00A1625F" w:rsidRPr="00BB70D5" w:rsidRDefault="00A1625F" w:rsidP="00A1625F">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68(1):</w:t>
      </w:r>
      <w:r w:rsidRPr="00BB70D5">
        <w:rPr>
          <w:rFonts w:ascii="Arial" w:hAnsi="Arial" w:cs="Arial"/>
          <w:color w:val="A6A6A6" w:themeColor="background1" w:themeShade="A6"/>
          <w:sz w:val="16"/>
          <w:szCs w:val="16"/>
        </w:rPr>
        <w:t xml:space="preserve"> the MOl may determine a term for which directors may be appointed.  Our standard MOI keeps to the default position of </w:t>
      </w:r>
      <w:r w:rsidR="006A005A">
        <w:rPr>
          <w:rFonts w:ascii="Arial" w:hAnsi="Arial" w:cs="Arial"/>
          <w:color w:val="A6A6A6" w:themeColor="background1" w:themeShade="A6"/>
          <w:sz w:val="16"/>
          <w:szCs w:val="16"/>
        </w:rPr>
        <w:t>"</w:t>
      </w:r>
      <w:r w:rsidRPr="00BB70D5">
        <w:rPr>
          <w:rFonts w:ascii="Arial" w:hAnsi="Arial" w:cs="Arial"/>
          <w:color w:val="A6A6A6" w:themeColor="background1" w:themeShade="A6"/>
          <w:sz w:val="16"/>
          <w:szCs w:val="16"/>
        </w:rPr>
        <w:t>indefinite</w:t>
      </w:r>
      <w:r w:rsidR="006A005A">
        <w:rPr>
          <w:rFonts w:ascii="Arial" w:hAnsi="Arial" w:cs="Arial"/>
          <w:color w:val="A6A6A6" w:themeColor="background1" w:themeShade="A6"/>
          <w:sz w:val="16"/>
          <w:szCs w:val="16"/>
        </w:rPr>
        <w:t>"</w:t>
      </w:r>
      <w:r w:rsidRPr="00BB70D5">
        <w:rPr>
          <w:rFonts w:ascii="Arial" w:hAnsi="Arial" w:cs="Arial"/>
          <w:color w:val="A6A6A6" w:themeColor="background1" w:themeShade="A6"/>
          <w:sz w:val="16"/>
          <w:szCs w:val="16"/>
        </w:rPr>
        <w:t xml:space="preserve"> terms, but you can change this if your client wishes to do so.</w:t>
      </w:r>
    </w:p>
  </w:footnote>
  <w:footnote w:id="80">
    <w:p w14:paraId="16D888A2" w14:textId="77777777" w:rsidR="00A1625F" w:rsidRPr="00BB70D5" w:rsidRDefault="00A1625F" w:rsidP="00A1625F">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66(4)(b): </w:t>
      </w:r>
      <w:r w:rsidRPr="00BB70D5">
        <w:rPr>
          <w:rFonts w:cs="Arial"/>
          <w:color w:val="A6A6A6" w:themeColor="background1" w:themeShade="A6"/>
          <w:sz w:val="16"/>
          <w:szCs w:val="16"/>
        </w:rPr>
        <w:t>sets out this unalterable provision for all profit companies other than state-owned companies.</w:t>
      </w:r>
    </w:p>
  </w:footnote>
  <w:footnote w:id="81">
    <w:p w14:paraId="0BFE72D1" w14:textId="77777777" w:rsidR="00A1625F" w:rsidRPr="00BB70D5" w:rsidRDefault="00A1625F" w:rsidP="00A1625F">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69(6):</w:t>
      </w:r>
      <w:r w:rsidRPr="00BB70D5">
        <w:rPr>
          <w:rFonts w:cs="Arial"/>
          <w:color w:val="A6A6A6" w:themeColor="background1" w:themeShade="A6"/>
          <w:sz w:val="16"/>
          <w:szCs w:val="16"/>
        </w:rPr>
        <w:t xml:space="preserve"> the MOl may impose additional grounds of ineligibility or disqualification of directors or minimum qualifications to be met by directors.</w:t>
      </w:r>
    </w:p>
  </w:footnote>
  <w:footnote w:id="82">
    <w:p w14:paraId="3A0CD3AB" w14:textId="77777777" w:rsidR="00A1625F" w:rsidRPr="00AD1F75" w:rsidRDefault="00A1625F" w:rsidP="00A1625F">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68(2):</w:t>
      </w:r>
      <w:r w:rsidRPr="00BB70D5">
        <w:rPr>
          <w:rFonts w:cs="Arial"/>
          <w:color w:val="A6A6A6" w:themeColor="background1" w:themeShade="A6"/>
          <w:sz w:val="16"/>
          <w:szCs w:val="16"/>
        </w:rPr>
        <w:t xml:space="preserve"> the MOI can determine a different process for the election of directors, but this is unlikely to be changed in a simple MOI.</w:t>
      </w:r>
    </w:p>
  </w:footnote>
  <w:footnote w:id="83">
    <w:p w14:paraId="47932EC1" w14:textId="77777777" w:rsidR="00E86A71" w:rsidRPr="00BB70D5" w:rsidRDefault="00E86A71"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Sections 66(6) and 69(2)(a): </w:t>
      </w:r>
      <w:r w:rsidRPr="00BB70D5">
        <w:rPr>
          <w:rFonts w:cs="Arial"/>
          <w:color w:val="A6A6A6" w:themeColor="background1" w:themeShade="A6"/>
          <w:sz w:val="16"/>
          <w:szCs w:val="16"/>
        </w:rPr>
        <w:t>set out these unalterable provisions.</w:t>
      </w:r>
    </w:p>
  </w:footnote>
  <w:footnote w:id="84">
    <w:p w14:paraId="76BB4EC7" w14:textId="77777777" w:rsidR="00E86A71" w:rsidRPr="00BB70D5" w:rsidRDefault="00E86A71"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69(5): </w:t>
      </w:r>
      <w:r w:rsidRPr="00BB70D5">
        <w:rPr>
          <w:rFonts w:cs="Arial"/>
          <w:color w:val="A6A6A6" w:themeColor="background1" w:themeShade="A6"/>
          <w:sz w:val="16"/>
          <w:szCs w:val="16"/>
        </w:rPr>
        <w:t>sets out this unalterable provision.</w:t>
      </w:r>
    </w:p>
  </w:footnote>
  <w:footnote w:id="85">
    <w:p w14:paraId="26EA7899" w14:textId="77777777" w:rsidR="00E86A71" w:rsidRPr="00BB70D5" w:rsidRDefault="00E86A71"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Unalterable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 xml:space="preserve">Section 66(7)(b): </w:t>
      </w:r>
      <w:r w:rsidRPr="00BB70D5">
        <w:rPr>
          <w:rFonts w:ascii="Arial" w:hAnsi="Arial" w:cs="Arial"/>
          <w:color w:val="A6A6A6" w:themeColor="background1" w:themeShade="A6"/>
          <w:sz w:val="16"/>
          <w:szCs w:val="16"/>
        </w:rPr>
        <w:t>sets out this unalterable provision. Clients often think that someone is only deemed to be a director once he/she is reflected as such on the CIPC's records. This is, however, not the case. Written consent following appointment by the company / election by the shareholders is when directorship commences.</w:t>
      </w:r>
    </w:p>
    <w:p w14:paraId="0C21542F" w14:textId="77777777" w:rsidR="00E86A71" w:rsidRPr="00AD1F75" w:rsidRDefault="00E86A71" w:rsidP="00351466">
      <w:pPr>
        <w:pStyle w:val="FootnoteText"/>
        <w:keepNext/>
        <w:keepLines/>
        <w:spacing w:after="0" w:line="240" w:lineRule="auto"/>
        <w:rPr>
          <w:rFonts w:cs="Arial"/>
          <w:sz w:val="16"/>
          <w:szCs w:val="16"/>
          <w:lang w:val="en-ZA"/>
        </w:rPr>
      </w:pPr>
    </w:p>
  </w:footnote>
  <w:footnote w:id="86">
    <w:p w14:paraId="16602CE8" w14:textId="77777777" w:rsidR="00B12518" w:rsidRPr="00BB70D5" w:rsidRDefault="00B12518"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68(3): </w:t>
      </w:r>
      <w:r w:rsidRPr="00BB70D5">
        <w:rPr>
          <w:rFonts w:cs="Arial"/>
          <w:color w:val="A6A6A6" w:themeColor="background1" w:themeShade="A6"/>
          <w:sz w:val="16"/>
          <w:szCs w:val="16"/>
        </w:rPr>
        <w:t>provides that unless a company's MOI provides otherwise, the board may appoint a person who satisfies the requirements for election as a director to fill any vacancy and serve as a director of the company on a temporary basis until the vacancy has been filled by election, and during that period any person so appointed has all the powers, functions and duties, and is subject to all the liabilities, of any other director of the company.</w:t>
      </w:r>
    </w:p>
  </w:footnote>
  <w:footnote w:id="87">
    <w:p w14:paraId="61276C44" w14:textId="77777777" w:rsidR="00B12518" w:rsidRPr="00BB70D5" w:rsidRDefault="00B12518"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70(4):</w:t>
      </w:r>
      <w:r w:rsidRPr="00BB70D5">
        <w:rPr>
          <w:rFonts w:cs="Arial"/>
          <w:color w:val="A6A6A6" w:themeColor="background1" w:themeShade="A6"/>
          <w:sz w:val="16"/>
          <w:szCs w:val="16"/>
        </w:rPr>
        <w:t xml:space="preserve"> sets out this unalterable provision.</w:t>
      </w:r>
    </w:p>
  </w:footnote>
  <w:footnote w:id="88">
    <w:p w14:paraId="4F4E9EC8" w14:textId="77777777" w:rsidR="00B12518" w:rsidRPr="00BB70D5" w:rsidRDefault="00B12518"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Alterable provision</w:t>
      </w:r>
      <w:r w:rsidRPr="00BB70D5">
        <w:rPr>
          <w:rFonts w:cs="Arial"/>
          <w:b/>
          <w:bCs/>
          <w:color w:val="A6A6A6" w:themeColor="background1" w:themeShade="A6"/>
          <w:sz w:val="16"/>
          <w:szCs w:val="16"/>
        </w:rPr>
        <w:t>:</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66(4)(a)(i)</w:t>
      </w:r>
      <w:r w:rsidRPr="00BB70D5">
        <w:rPr>
          <w:rFonts w:cs="Arial"/>
          <w:color w:val="A6A6A6" w:themeColor="background1" w:themeShade="A6"/>
          <w:sz w:val="16"/>
          <w:szCs w:val="16"/>
        </w:rPr>
        <w:t>: an MOI may provide for the direct appointment and removal of directors by any person who is named in, or determined in terms of, the MOI (even non-shareholders who are not directors, for example creditors).</w:t>
      </w:r>
    </w:p>
  </w:footnote>
  <w:footnote w:id="89">
    <w:p w14:paraId="6AC64DFE" w14:textId="77777777" w:rsidR="00B12518" w:rsidRPr="00AD1F75" w:rsidRDefault="00B12518" w:rsidP="00351466">
      <w:pPr>
        <w:pStyle w:val="FootnoteText"/>
        <w:keepNext/>
        <w:keepLines/>
        <w:spacing w:after="0"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69(6):</w:t>
      </w:r>
      <w:r w:rsidRPr="00BB70D5">
        <w:rPr>
          <w:rFonts w:cs="Arial"/>
          <w:color w:val="A6A6A6" w:themeColor="background1" w:themeShade="A6"/>
          <w:sz w:val="16"/>
          <w:szCs w:val="16"/>
        </w:rPr>
        <w:t xml:space="preserve"> the MOl may impose additional grounds of ineligibility or disqualification of directors or minimum qualifications to be met by directors.</w:t>
      </w:r>
    </w:p>
  </w:footnote>
  <w:footnote w:id="90">
    <w:p w14:paraId="332A5962" w14:textId="77777777" w:rsidR="00B12518" w:rsidRPr="00BB70D5" w:rsidRDefault="00B12518"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Sections 70(1)(b)(v), read with section 71(3):</w:t>
      </w:r>
      <w:r w:rsidRPr="00BB70D5">
        <w:rPr>
          <w:rFonts w:cs="Arial"/>
          <w:color w:val="A6A6A6" w:themeColor="background1" w:themeShade="A6"/>
          <w:sz w:val="16"/>
          <w:szCs w:val="16"/>
        </w:rPr>
        <w:t xml:space="preserve"> sets out this unalterable provision.</w:t>
      </w:r>
    </w:p>
  </w:footnote>
  <w:footnote w:id="91">
    <w:p w14:paraId="6FC8DC45" w14:textId="77777777" w:rsidR="00B12518" w:rsidRPr="00BB70D5" w:rsidRDefault="00B12518"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Sections 70(1)(b)(v), read with section 71(3):</w:t>
      </w:r>
      <w:r w:rsidRPr="00BB70D5">
        <w:rPr>
          <w:rFonts w:cs="Arial"/>
          <w:color w:val="A6A6A6" w:themeColor="background1" w:themeShade="A6"/>
          <w:sz w:val="16"/>
          <w:szCs w:val="16"/>
        </w:rPr>
        <w:t xml:space="preserve"> sets out this unalterable provision.</w:t>
      </w:r>
    </w:p>
  </w:footnote>
  <w:footnote w:id="92">
    <w:p w14:paraId="2A1821F6" w14:textId="77777777" w:rsidR="00B12518" w:rsidRPr="00BB70D5" w:rsidRDefault="00B12518"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Sections 70(1)(b)(iii), read with section 71(3):</w:t>
      </w:r>
      <w:r w:rsidRPr="00BB70D5">
        <w:rPr>
          <w:rFonts w:cs="Arial"/>
          <w:color w:val="A6A6A6" w:themeColor="background1" w:themeShade="A6"/>
          <w:sz w:val="16"/>
          <w:szCs w:val="16"/>
        </w:rPr>
        <w:t xml:space="preserve"> sets out this unalterable provision.</w:t>
      </w:r>
    </w:p>
  </w:footnote>
  <w:footnote w:id="93">
    <w:p w14:paraId="15524434" w14:textId="77777777" w:rsidR="00B12518" w:rsidRPr="00BB70D5" w:rsidRDefault="00B12518"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00361032" w:rsidRPr="00BB70D5">
        <w:rPr>
          <w:rFonts w:cs="Arial"/>
          <w:b/>
          <w:bCs/>
          <w:color w:val="A6A6A6" w:themeColor="background1" w:themeShade="A6"/>
          <w:sz w:val="16"/>
          <w:szCs w:val="16"/>
        </w:rPr>
        <w:t>Unalterable provision:</w:t>
      </w:r>
      <w:r w:rsidR="00361032" w:rsidRPr="00BB70D5">
        <w:rPr>
          <w:rFonts w:cs="Arial"/>
          <w:color w:val="A6A6A6" w:themeColor="background1" w:themeShade="A6"/>
          <w:sz w:val="16"/>
          <w:szCs w:val="16"/>
        </w:rPr>
        <w:t xml:space="preserve"> </w:t>
      </w:r>
      <w:r w:rsidR="00361032" w:rsidRPr="00BB70D5">
        <w:rPr>
          <w:rFonts w:cs="Arial"/>
          <w:b/>
          <w:bCs/>
          <w:i/>
          <w:iCs/>
          <w:color w:val="A6A6A6" w:themeColor="background1" w:themeShade="A6"/>
          <w:sz w:val="16"/>
          <w:szCs w:val="16"/>
        </w:rPr>
        <w:t>Sections 70(1)(b)(iv), read with section 71(3):</w:t>
      </w:r>
      <w:r w:rsidR="00361032" w:rsidRPr="00BB70D5">
        <w:rPr>
          <w:rFonts w:cs="Arial"/>
          <w:color w:val="A6A6A6" w:themeColor="background1" w:themeShade="A6"/>
          <w:sz w:val="16"/>
          <w:szCs w:val="16"/>
        </w:rPr>
        <w:t xml:space="preserve"> sets out this unalterable provision.</w:t>
      </w:r>
    </w:p>
  </w:footnote>
  <w:footnote w:id="94">
    <w:p w14:paraId="78AE8F28" w14:textId="77777777" w:rsidR="00361032" w:rsidRPr="00BB70D5" w:rsidRDefault="00361032" w:rsidP="00351466">
      <w:pPr>
        <w:pStyle w:val="pf0"/>
        <w:keepNext/>
        <w:keepLines/>
        <w:spacing w:before="0" w:beforeAutospacing="0" w:after="0" w:after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Unalterable provisions: </w:t>
      </w:r>
      <w:r w:rsidRPr="00BB70D5">
        <w:rPr>
          <w:rFonts w:ascii="Arial" w:hAnsi="Arial" w:cs="Arial"/>
          <w:b/>
          <w:bCs/>
          <w:i/>
          <w:iCs/>
          <w:color w:val="A6A6A6" w:themeColor="background1" w:themeShade="A6"/>
          <w:sz w:val="16"/>
          <w:szCs w:val="16"/>
        </w:rPr>
        <w:t xml:space="preserve">Section 65(8): </w:t>
      </w:r>
      <w:r w:rsidRPr="00BB70D5">
        <w:rPr>
          <w:rFonts w:ascii="Arial" w:hAnsi="Arial" w:cs="Arial"/>
          <w:color w:val="A6A6A6" w:themeColor="background1" w:themeShade="A6"/>
          <w:sz w:val="16"/>
          <w:szCs w:val="16"/>
        </w:rPr>
        <w:t xml:space="preserve">an ordinary resolution to remove a director cannot have a higher threshold than the default, i.e. 50% +1. </w:t>
      </w:r>
      <w:r w:rsidRPr="00BB70D5">
        <w:rPr>
          <w:rFonts w:ascii="Arial" w:hAnsi="Arial" w:cs="Arial"/>
          <w:b/>
          <w:bCs/>
          <w:i/>
          <w:iCs/>
          <w:color w:val="A6A6A6" w:themeColor="background1" w:themeShade="A6"/>
          <w:sz w:val="16"/>
          <w:szCs w:val="16"/>
        </w:rPr>
        <w:t xml:space="preserve">Section 71(1): </w:t>
      </w:r>
      <w:r w:rsidRPr="00BB70D5">
        <w:rPr>
          <w:rFonts w:ascii="Arial" w:hAnsi="Arial" w:cs="Arial"/>
          <w:color w:val="A6A6A6" w:themeColor="background1" w:themeShade="A6"/>
          <w:sz w:val="16"/>
          <w:szCs w:val="16"/>
        </w:rPr>
        <w:t>despite anything to the contrary in the company's MOI, rules or any agreement between the company and a director, a director may be removed by ordinary resolution adopted at a shareholders' meeting.</w:t>
      </w:r>
    </w:p>
    <w:p w14:paraId="5BB6EA2A" w14:textId="77777777" w:rsidR="00361032" w:rsidRPr="00AD1F75" w:rsidRDefault="00361032" w:rsidP="00351466">
      <w:pPr>
        <w:pStyle w:val="FootnoteText"/>
        <w:keepNext/>
        <w:keepLines/>
        <w:spacing w:after="0" w:line="240" w:lineRule="auto"/>
        <w:rPr>
          <w:rFonts w:cs="Arial"/>
          <w:sz w:val="16"/>
          <w:szCs w:val="16"/>
          <w:lang w:val="en-ZA"/>
        </w:rPr>
      </w:pPr>
    </w:p>
  </w:footnote>
  <w:footnote w:id="95">
    <w:p w14:paraId="2398E3D4" w14:textId="77777777" w:rsidR="00361032" w:rsidRPr="00BB70D5" w:rsidRDefault="00361032" w:rsidP="00351466">
      <w:pPr>
        <w:pStyle w:val="FootnoteText"/>
        <w:keepNext/>
        <w:keepLines/>
        <w:spacing w:after="0"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Sections 70(1)(b)(ii):</w:t>
      </w:r>
      <w:r w:rsidRPr="00BB70D5">
        <w:rPr>
          <w:rFonts w:cs="Arial"/>
          <w:color w:val="A6A6A6" w:themeColor="background1" w:themeShade="A6"/>
          <w:sz w:val="16"/>
          <w:szCs w:val="16"/>
        </w:rPr>
        <w:t xml:space="preserve"> sets out this unalterable provision.</w:t>
      </w:r>
    </w:p>
  </w:footnote>
  <w:footnote w:id="96">
    <w:p w14:paraId="2D2F6FE5" w14:textId="77777777" w:rsidR="00EE2934" w:rsidRPr="00BB70D5" w:rsidRDefault="00EE2934"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66(8)</w:t>
      </w:r>
      <w:r w:rsidRPr="00BB70D5">
        <w:rPr>
          <w:rFonts w:ascii="Arial" w:hAnsi="Arial" w:cs="Arial"/>
          <w:color w:val="A6A6A6" w:themeColor="background1" w:themeShade="A6"/>
          <w:sz w:val="16"/>
          <w:szCs w:val="16"/>
        </w:rPr>
        <w:t xml:space="preserve">: a company may pay remuneration to its directors for their service as directors, except to the extent that the MOI provides otherwise. </w:t>
      </w:r>
    </w:p>
  </w:footnote>
  <w:footnote w:id="97">
    <w:p w14:paraId="2013F544" w14:textId="77777777" w:rsidR="00EE2934" w:rsidRPr="00AD1F75" w:rsidRDefault="00EE2934" w:rsidP="00351466">
      <w:pPr>
        <w:pStyle w:val="FootnoteText"/>
        <w:keepNext/>
        <w:keepLines/>
        <w:spacing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66(9): </w:t>
      </w:r>
      <w:r w:rsidRPr="00BB70D5">
        <w:rPr>
          <w:rFonts w:cs="Arial"/>
          <w:color w:val="A6A6A6" w:themeColor="background1" w:themeShade="A6"/>
          <w:sz w:val="16"/>
          <w:szCs w:val="16"/>
        </w:rPr>
        <w:t>sets out this unalterable provision. This is to ensure that shareholders remain in control of remuneration of directors.</w:t>
      </w:r>
    </w:p>
  </w:footnote>
  <w:footnote w:id="98">
    <w:p w14:paraId="69BA9582" w14:textId="77777777" w:rsidR="00EE2934" w:rsidRPr="00BB70D5" w:rsidRDefault="00EE2934"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w:t>
      </w:r>
      <w:r w:rsidRPr="00BB70D5">
        <w:rPr>
          <w:rFonts w:ascii="Arial" w:hAnsi="Arial" w:cs="Arial"/>
          <w:color w:val="A6A6A6" w:themeColor="background1" w:themeShade="A6"/>
          <w:sz w:val="16"/>
          <w:szCs w:val="16"/>
        </w:rPr>
        <w:t xml:space="preserve"> </w:t>
      </w:r>
      <w:r w:rsidRPr="00BB70D5">
        <w:rPr>
          <w:rFonts w:ascii="Arial" w:hAnsi="Arial" w:cs="Arial"/>
          <w:b/>
          <w:bCs/>
          <w:i/>
          <w:iCs/>
          <w:color w:val="A6A6A6" w:themeColor="background1" w:themeShade="A6"/>
          <w:sz w:val="16"/>
          <w:szCs w:val="16"/>
        </w:rPr>
        <w:t>Section 45(2)</w:t>
      </w:r>
      <w:r w:rsidRPr="00BB70D5">
        <w:rPr>
          <w:rFonts w:ascii="Arial" w:hAnsi="Arial" w:cs="Arial"/>
          <w:b/>
          <w:bCs/>
          <w:color w:val="A6A6A6" w:themeColor="background1" w:themeShade="A6"/>
          <w:sz w:val="16"/>
          <w:szCs w:val="16"/>
        </w:rPr>
        <w:t>:</w:t>
      </w:r>
      <w:r w:rsidRPr="00BB70D5">
        <w:rPr>
          <w:rFonts w:ascii="Arial" w:hAnsi="Arial" w:cs="Arial"/>
          <w:i/>
          <w:iCs/>
          <w:color w:val="A6A6A6" w:themeColor="background1" w:themeShade="A6"/>
          <w:sz w:val="16"/>
          <w:szCs w:val="16"/>
        </w:rPr>
        <w:t xml:space="preserve"> </w:t>
      </w:r>
      <w:r w:rsidRPr="00BB70D5">
        <w:rPr>
          <w:rFonts w:ascii="Arial" w:hAnsi="Arial" w:cs="Arial"/>
          <w:color w:val="A6A6A6" w:themeColor="background1" w:themeShade="A6"/>
          <w:sz w:val="16"/>
          <w:szCs w:val="16"/>
        </w:rPr>
        <w:t>except to the extent that the MOI provides otherwise, the board of directors of a company may authorise loans or financial assistance to:</w:t>
      </w:r>
    </w:p>
    <w:p w14:paraId="360686DA" w14:textId="77777777" w:rsidR="00EE2934" w:rsidRPr="00BB70D5" w:rsidRDefault="00EE2934" w:rsidP="00351466">
      <w:pPr>
        <w:pStyle w:val="pf0"/>
        <w:keepNext/>
        <w:keepLines/>
        <w:numPr>
          <w:ilvl w:val="0"/>
          <w:numId w:val="76"/>
        </w:numPr>
        <w:spacing w:before="0" w:beforeAutospacing="0"/>
        <w:jc w:val="both"/>
        <w:rPr>
          <w:rFonts w:ascii="Arial" w:hAnsi="Arial" w:cs="Arial"/>
          <w:color w:val="A6A6A6" w:themeColor="background1" w:themeShade="A6"/>
          <w:sz w:val="16"/>
          <w:szCs w:val="16"/>
        </w:rPr>
      </w:pPr>
      <w:r w:rsidRPr="00BB70D5">
        <w:rPr>
          <w:rFonts w:ascii="Arial" w:hAnsi="Arial" w:cs="Arial"/>
          <w:color w:val="A6A6A6" w:themeColor="background1" w:themeShade="A6"/>
          <w:sz w:val="16"/>
          <w:szCs w:val="16"/>
        </w:rPr>
        <w:t>a director or prescribed officer of the company or of a related or inter-related company; or</w:t>
      </w:r>
    </w:p>
    <w:p w14:paraId="33701EE1" w14:textId="77777777" w:rsidR="00EE2934" w:rsidRPr="00BB70D5" w:rsidRDefault="00EE2934" w:rsidP="00351466">
      <w:pPr>
        <w:pStyle w:val="pf0"/>
        <w:keepNext/>
        <w:keepLines/>
        <w:numPr>
          <w:ilvl w:val="0"/>
          <w:numId w:val="76"/>
        </w:numPr>
        <w:spacing w:before="0" w:beforeAutospacing="0"/>
        <w:jc w:val="both"/>
        <w:rPr>
          <w:rFonts w:ascii="Arial" w:hAnsi="Arial" w:cs="Arial"/>
          <w:color w:val="A6A6A6" w:themeColor="background1" w:themeShade="A6"/>
          <w:sz w:val="16"/>
          <w:szCs w:val="16"/>
        </w:rPr>
      </w:pPr>
      <w:r w:rsidRPr="00BB70D5">
        <w:rPr>
          <w:rFonts w:ascii="Arial" w:hAnsi="Arial" w:cs="Arial"/>
          <w:color w:val="A6A6A6" w:themeColor="background1" w:themeShade="A6"/>
          <w:sz w:val="16"/>
          <w:szCs w:val="16"/>
        </w:rPr>
        <w:t>a related or inter-related company or corporation; or</w:t>
      </w:r>
    </w:p>
    <w:p w14:paraId="6F5D74BA" w14:textId="77777777" w:rsidR="00EE2934" w:rsidRPr="00BB70D5" w:rsidRDefault="00EE2934" w:rsidP="00351466">
      <w:pPr>
        <w:pStyle w:val="pf0"/>
        <w:keepNext/>
        <w:keepLines/>
        <w:numPr>
          <w:ilvl w:val="0"/>
          <w:numId w:val="76"/>
        </w:numPr>
        <w:spacing w:before="0" w:beforeAutospacing="0"/>
        <w:jc w:val="both"/>
        <w:rPr>
          <w:rFonts w:ascii="Arial" w:hAnsi="Arial" w:cs="Arial"/>
          <w:color w:val="A6A6A6" w:themeColor="background1" w:themeShade="A6"/>
          <w:sz w:val="16"/>
          <w:szCs w:val="16"/>
        </w:rPr>
      </w:pPr>
      <w:r w:rsidRPr="00BB70D5">
        <w:rPr>
          <w:rFonts w:ascii="Arial" w:hAnsi="Arial" w:cs="Arial"/>
          <w:color w:val="A6A6A6" w:themeColor="background1" w:themeShade="A6"/>
          <w:sz w:val="16"/>
          <w:szCs w:val="16"/>
        </w:rPr>
        <w:t>to a member of a related or inter-related corporation; or</w:t>
      </w:r>
    </w:p>
    <w:p w14:paraId="6F53FF59" w14:textId="77777777" w:rsidR="00EE2934" w:rsidRPr="00AD1F75" w:rsidRDefault="00EE2934" w:rsidP="00351466">
      <w:pPr>
        <w:pStyle w:val="pf0"/>
        <w:keepNext/>
        <w:keepLines/>
        <w:numPr>
          <w:ilvl w:val="0"/>
          <w:numId w:val="76"/>
        </w:numPr>
        <w:spacing w:before="0" w:beforeAutospacing="0"/>
        <w:jc w:val="both"/>
        <w:rPr>
          <w:rFonts w:ascii="Arial" w:hAnsi="Arial" w:cs="Arial"/>
          <w:sz w:val="16"/>
          <w:szCs w:val="16"/>
        </w:rPr>
      </w:pPr>
      <w:r w:rsidRPr="00BB70D5">
        <w:rPr>
          <w:rFonts w:ascii="Arial" w:hAnsi="Arial" w:cs="Arial"/>
          <w:color w:val="A6A6A6" w:themeColor="background1" w:themeShade="A6"/>
          <w:sz w:val="16"/>
          <w:szCs w:val="16"/>
        </w:rPr>
        <w:t>a person related to any such company, corporation, director, prescribed officer or member.</w:t>
      </w:r>
    </w:p>
  </w:footnote>
  <w:footnote w:id="99">
    <w:p w14:paraId="224E71DE" w14:textId="77777777" w:rsidR="00EE2934" w:rsidRPr="00BB70D5" w:rsidRDefault="00EE2934"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45(5): </w:t>
      </w:r>
      <w:r w:rsidRPr="00BB70D5">
        <w:rPr>
          <w:rFonts w:cs="Arial"/>
          <w:color w:val="A6A6A6" w:themeColor="background1" w:themeShade="A6"/>
          <w:sz w:val="16"/>
          <w:szCs w:val="16"/>
        </w:rPr>
        <w:t>these are requirements with which the board of directors must comply with, despite any contrary provision contained in the Company's MOI.</w:t>
      </w:r>
    </w:p>
  </w:footnote>
  <w:footnote w:id="100">
    <w:p w14:paraId="22674228" w14:textId="77777777" w:rsidR="00592CD3" w:rsidRPr="00BB70D5" w:rsidRDefault="00592CD3" w:rsidP="00351466">
      <w:pPr>
        <w:pStyle w:val="pf0"/>
        <w:keepNext/>
        <w:keepLines/>
        <w:spacing w:before="0" w:beforeAutospacing="0"/>
        <w:jc w:val="both"/>
        <w:rPr>
          <w:rFonts w:ascii="Arial" w:hAnsi="Arial" w:cs="Arial"/>
          <w:b/>
          <w:bCs/>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Alterable provisions:</w:t>
      </w:r>
    </w:p>
    <w:p w14:paraId="6E61CF39" w14:textId="77777777" w:rsidR="00592CD3" w:rsidRPr="00BB70D5" w:rsidRDefault="00592CD3" w:rsidP="00351466">
      <w:pPr>
        <w:pStyle w:val="pf0"/>
        <w:keepNext/>
        <w:keepLines/>
        <w:numPr>
          <w:ilvl w:val="0"/>
          <w:numId w:val="76"/>
        </w:numPr>
        <w:spacing w:before="0" w:beforeAutospacing="0"/>
        <w:jc w:val="both"/>
        <w:rPr>
          <w:rFonts w:ascii="Arial" w:hAnsi="Arial" w:cs="Arial"/>
          <w:color w:val="A6A6A6" w:themeColor="background1" w:themeShade="A6"/>
          <w:sz w:val="16"/>
          <w:szCs w:val="16"/>
        </w:rPr>
      </w:pPr>
      <w:r w:rsidRPr="00BB70D5">
        <w:rPr>
          <w:rFonts w:ascii="Arial" w:hAnsi="Arial" w:cs="Arial"/>
          <w:b/>
          <w:bCs/>
          <w:i/>
          <w:iCs/>
          <w:color w:val="A6A6A6" w:themeColor="background1" w:themeShade="A6"/>
          <w:sz w:val="16"/>
          <w:szCs w:val="16"/>
        </w:rPr>
        <w:t>Section 72(1)(a):</w:t>
      </w:r>
      <w:r w:rsidRPr="00BB70D5">
        <w:rPr>
          <w:rFonts w:ascii="Arial" w:hAnsi="Arial" w:cs="Arial"/>
          <w:color w:val="A6A6A6" w:themeColor="background1" w:themeShade="A6"/>
          <w:sz w:val="16"/>
          <w:szCs w:val="16"/>
        </w:rPr>
        <w:t xml:space="preserve"> the board may appoint any number of committees of directors;</w:t>
      </w:r>
    </w:p>
    <w:p w14:paraId="39579D9E" w14:textId="77777777" w:rsidR="00592CD3" w:rsidRPr="00BB70D5" w:rsidRDefault="00592CD3" w:rsidP="00351466">
      <w:pPr>
        <w:pStyle w:val="pf0"/>
        <w:keepNext/>
        <w:keepLines/>
        <w:numPr>
          <w:ilvl w:val="0"/>
          <w:numId w:val="76"/>
        </w:numPr>
        <w:spacing w:before="0" w:beforeAutospacing="0"/>
        <w:jc w:val="both"/>
        <w:rPr>
          <w:rFonts w:ascii="Arial" w:hAnsi="Arial" w:cs="Arial"/>
          <w:color w:val="A6A6A6" w:themeColor="background1" w:themeShade="A6"/>
          <w:sz w:val="16"/>
          <w:szCs w:val="16"/>
        </w:rPr>
      </w:pPr>
      <w:r w:rsidRPr="00BB70D5">
        <w:rPr>
          <w:rFonts w:ascii="Arial" w:hAnsi="Arial" w:cs="Arial"/>
          <w:b/>
          <w:bCs/>
          <w:i/>
          <w:iCs/>
          <w:color w:val="A6A6A6" w:themeColor="background1" w:themeShade="A6"/>
          <w:sz w:val="16"/>
          <w:szCs w:val="16"/>
        </w:rPr>
        <w:t xml:space="preserve">Section 72(1)(b): </w:t>
      </w:r>
      <w:r w:rsidRPr="00BB70D5">
        <w:rPr>
          <w:rFonts w:ascii="Arial" w:hAnsi="Arial" w:cs="Arial"/>
          <w:color w:val="A6A6A6" w:themeColor="background1" w:themeShade="A6"/>
          <w:sz w:val="16"/>
          <w:szCs w:val="16"/>
        </w:rPr>
        <w:t xml:space="preserve">the board may delegate to any committee any of the authority of the board, </w:t>
      </w:r>
    </w:p>
    <w:p w14:paraId="71467D0E" w14:textId="77777777" w:rsidR="00592CD3" w:rsidRPr="00BB70D5" w:rsidRDefault="00592CD3" w:rsidP="00351466">
      <w:pPr>
        <w:keepNext/>
        <w:keepLines/>
        <w:spacing w:after="100" w:afterAutospacing="1" w:line="240" w:lineRule="auto"/>
        <w:rPr>
          <w:rFonts w:cs="Arial"/>
          <w:color w:val="A6A6A6" w:themeColor="background1" w:themeShade="A6"/>
          <w:sz w:val="16"/>
          <w:szCs w:val="16"/>
          <w:lang w:eastAsia="en-ZA"/>
        </w:rPr>
      </w:pPr>
      <w:r w:rsidRPr="00BB70D5">
        <w:rPr>
          <w:rFonts w:cs="Arial"/>
          <w:color w:val="A6A6A6" w:themeColor="background1" w:themeShade="A6"/>
          <w:sz w:val="16"/>
          <w:szCs w:val="16"/>
          <w:lang w:eastAsia="en-ZA"/>
        </w:rPr>
        <w:t>except to the extent that the MOI provides otherwise.</w:t>
      </w:r>
    </w:p>
  </w:footnote>
  <w:footnote w:id="101">
    <w:p w14:paraId="35A4BC72" w14:textId="77777777" w:rsidR="00592CD3" w:rsidRPr="00AD1F75" w:rsidRDefault="00592CD3" w:rsidP="00351466">
      <w:pPr>
        <w:pStyle w:val="FootnoteText"/>
        <w:keepNext/>
        <w:keepLines/>
        <w:spacing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b/>
          <w:bCs/>
          <w:i/>
          <w:iCs/>
          <w:color w:val="A6A6A6" w:themeColor="background1" w:themeShade="A6"/>
          <w:sz w:val="16"/>
          <w:szCs w:val="16"/>
        </w:rPr>
        <w:t xml:space="preserve"> Section 72(2)(a):</w:t>
      </w:r>
      <w:r w:rsidRPr="00BB70D5">
        <w:rPr>
          <w:rFonts w:cs="Arial"/>
          <w:color w:val="A6A6A6" w:themeColor="background1" w:themeShade="A6"/>
          <w:sz w:val="16"/>
          <w:szCs w:val="16"/>
        </w:rPr>
        <w:t xml:space="preserve"> the board committee may include persons who are not directors, but such persons must not be ineligible or disqualified to be a director and must not have a vote, except to the extent that the MOI, or a resolution establishing the committee, provides otherwise.</w:t>
      </w:r>
    </w:p>
  </w:footnote>
  <w:footnote w:id="102">
    <w:p w14:paraId="38A4075F" w14:textId="77777777" w:rsidR="00592CD3" w:rsidRPr="00BB70D5" w:rsidRDefault="00592CD3"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 xml:space="preserve">Alterable provision: </w:t>
      </w:r>
      <w:r w:rsidRPr="00BB70D5">
        <w:rPr>
          <w:rFonts w:cs="Arial"/>
          <w:b/>
          <w:bCs/>
          <w:i/>
          <w:iCs/>
          <w:color w:val="A6A6A6" w:themeColor="background1" w:themeShade="A6"/>
          <w:sz w:val="16"/>
          <w:szCs w:val="16"/>
        </w:rPr>
        <w:t>Section 72(2)(b):</w:t>
      </w:r>
      <w:r w:rsidRPr="00BB70D5">
        <w:rPr>
          <w:rFonts w:cs="Arial"/>
          <w:color w:val="A6A6A6" w:themeColor="background1" w:themeShade="A6"/>
          <w:sz w:val="16"/>
          <w:szCs w:val="16"/>
        </w:rPr>
        <w:t xml:space="preserve"> the board committee may consult with or receive advice from any person, except to the extent that the MOI, or a resolution establishing the committee, provides otherwise.</w:t>
      </w:r>
    </w:p>
  </w:footnote>
  <w:footnote w:id="103">
    <w:p w14:paraId="0171D79A" w14:textId="77777777" w:rsidR="00592CD3" w:rsidRPr="00BB70D5" w:rsidRDefault="00592CD3"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 xml:space="preserve">Alterable provision: </w:t>
      </w:r>
      <w:r w:rsidRPr="00BB70D5">
        <w:rPr>
          <w:rFonts w:cs="Arial"/>
          <w:b/>
          <w:bCs/>
          <w:i/>
          <w:iCs/>
          <w:color w:val="A6A6A6" w:themeColor="background1" w:themeShade="A6"/>
          <w:sz w:val="16"/>
          <w:szCs w:val="16"/>
        </w:rPr>
        <w:t>Section 72(2)(c):</w:t>
      </w:r>
      <w:r w:rsidRPr="00BB70D5">
        <w:rPr>
          <w:rFonts w:cs="Arial"/>
          <w:color w:val="A6A6A6" w:themeColor="background1" w:themeShade="A6"/>
          <w:sz w:val="16"/>
          <w:szCs w:val="16"/>
        </w:rPr>
        <w:t xml:space="preserve"> the board committee has the full authority of the board in respect of any matter referred to it, except to the extent that the MOI, or a resolution establishing the committee, provides otherwise.</w:t>
      </w:r>
    </w:p>
  </w:footnote>
  <w:footnote w:id="104">
    <w:p w14:paraId="7B463E53" w14:textId="45F31D9C" w:rsidR="00592CD3" w:rsidRPr="00BB70D5" w:rsidRDefault="00592CD3" w:rsidP="00BB70D5">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003C2DCA" w:rsidRPr="00BB70D5">
        <w:rPr>
          <w:rFonts w:ascii="Arial" w:hAnsi="Arial" w:cs="Arial"/>
          <w:b/>
          <w:bCs/>
          <w:color w:val="A6A6A6" w:themeColor="background1" w:themeShade="A6"/>
          <w:sz w:val="16"/>
          <w:szCs w:val="16"/>
        </w:rPr>
        <w:t>Unalterable provision:</w:t>
      </w:r>
      <w:r w:rsidR="003C2DCA" w:rsidRPr="00BB70D5">
        <w:rPr>
          <w:rFonts w:ascii="Arial" w:hAnsi="Arial" w:cs="Arial"/>
          <w:color w:val="A6A6A6" w:themeColor="background1" w:themeShade="A6"/>
          <w:sz w:val="16"/>
          <w:szCs w:val="16"/>
        </w:rPr>
        <w:t xml:space="preserve"> </w:t>
      </w:r>
      <w:r w:rsidR="003C2DCA" w:rsidRPr="00BB70D5">
        <w:rPr>
          <w:rFonts w:ascii="Arial" w:hAnsi="Arial" w:cs="Arial"/>
          <w:b/>
          <w:bCs/>
          <w:i/>
          <w:iCs/>
          <w:color w:val="A6A6A6" w:themeColor="background1" w:themeShade="A6"/>
          <w:sz w:val="16"/>
          <w:szCs w:val="16"/>
        </w:rPr>
        <w:t xml:space="preserve">Section 73(1)(a): </w:t>
      </w:r>
      <w:r w:rsidR="003C2DCA" w:rsidRPr="00BB70D5">
        <w:rPr>
          <w:rFonts w:ascii="Arial" w:hAnsi="Arial" w:cs="Arial"/>
          <w:color w:val="A6A6A6" w:themeColor="background1" w:themeShade="A6"/>
          <w:sz w:val="16"/>
          <w:szCs w:val="16"/>
        </w:rPr>
        <w:t xml:space="preserve">requires this clause to ensure that any director authorised by the board </w:t>
      </w:r>
      <w:r w:rsidR="003C2DCA" w:rsidRPr="00BB70D5">
        <w:rPr>
          <w:rFonts w:ascii="Arial" w:hAnsi="Arial" w:cs="Arial"/>
          <w:b/>
          <w:bCs/>
          <w:color w:val="A6A6A6" w:themeColor="background1" w:themeShade="A6"/>
          <w:sz w:val="16"/>
          <w:szCs w:val="16"/>
          <w:u w:val="single"/>
        </w:rPr>
        <w:t>may</w:t>
      </w:r>
      <w:r w:rsidR="003C2DCA" w:rsidRPr="00BB70D5">
        <w:rPr>
          <w:rFonts w:ascii="Arial" w:hAnsi="Arial" w:cs="Arial"/>
          <w:color w:val="A6A6A6" w:themeColor="background1" w:themeShade="A6"/>
          <w:sz w:val="16"/>
          <w:szCs w:val="16"/>
        </w:rPr>
        <w:t xml:space="preserve"> (i.e. has the right to) summon a meeting. Note the difference between this clause and clause 24.1.2 is that the latter deals with when a director </w:t>
      </w:r>
      <w:r w:rsidR="003C2DCA" w:rsidRPr="00BB70D5">
        <w:rPr>
          <w:rFonts w:ascii="Arial" w:hAnsi="Arial" w:cs="Arial"/>
          <w:b/>
          <w:bCs/>
          <w:color w:val="A6A6A6" w:themeColor="background1" w:themeShade="A6"/>
          <w:sz w:val="16"/>
          <w:szCs w:val="16"/>
          <w:u w:val="single"/>
        </w:rPr>
        <w:t>must</w:t>
      </w:r>
      <w:r w:rsidR="003C2DCA" w:rsidRPr="00BB70D5">
        <w:rPr>
          <w:rFonts w:ascii="Arial" w:hAnsi="Arial" w:cs="Arial"/>
          <w:color w:val="A6A6A6" w:themeColor="background1" w:themeShade="A6"/>
          <w:sz w:val="16"/>
          <w:szCs w:val="16"/>
        </w:rPr>
        <w:t xml:space="preserve"> (i.e. is obliged to) summon a meeting.</w:t>
      </w:r>
    </w:p>
  </w:footnote>
  <w:footnote w:id="105">
    <w:p w14:paraId="30144AEB" w14:textId="77777777" w:rsidR="00592CD3" w:rsidRPr="00AD1F75" w:rsidRDefault="00592CD3" w:rsidP="00351466">
      <w:pPr>
        <w:pStyle w:val="pf0"/>
        <w:keepNext/>
        <w:keepLines/>
        <w:spacing w:before="0" w:beforeAutospacing="0"/>
        <w:jc w:val="both"/>
        <w:rPr>
          <w:rFonts w:ascii="Arial" w:hAnsi="Arial" w:cs="Arial"/>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003C2DCA" w:rsidRPr="00BB70D5">
        <w:rPr>
          <w:rFonts w:ascii="Arial" w:hAnsi="Arial" w:cs="Arial"/>
          <w:b/>
          <w:bCs/>
          <w:color w:val="A6A6A6" w:themeColor="background1" w:themeShade="A6"/>
          <w:sz w:val="16"/>
          <w:szCs w:val="16"/>
        </w:rPr>
        <w:t xml:space="preserve">Alterable provision: </w:t>
      </w:r>
      <w:r w:rsidR="003C2DCA" w:rsidRPr="00BB70D5">
        <w:rPr>
          <w:rFonts w:ascii="Arial" w:hAnsi="Arial" w:cs="Arial"/>
          <w:b/>
          <w:bCs/>
          <w:i/>
          <w:iCs/>
          <w:color w:val="A6A6A6" w:themeColor="background1" w:themeShade="A6"/>
          <w:sz w:val="16"/>
          <w:szCs w:val="16"/>
        </w:rPr>
        <w:t>Section 73(1)(b), read with section 73(2):</w:t>
      </w:r>
      <w:r w:rsidR="003C2DCA" w:rsidRPr="00BB70D5">
        <w:rPr>
          <w:rFonts w:ascii="Arial" w:hAnsi="Arial" w:cs="Arial"/>
          <w:color w:val="A6A6A6" w:themeColor="background1" w:themeShade="A6"/>
          <w:sz w:val="16"/>
          <w:szCs w:val="16"/>
        </w:rPr>
        <w:t xml:space="preserve"> an authorised director must call a meeting of the board if required by at least 25% of the directors in the case of a board that has at least 12 members or 2 directors in any other case, unless the MOI specifies a different percentage or number of directors. Given that it is highly unlikely that a private company will have a 12 member board of directors, our MOI provides for the default position set out in section 73(1)(b)(ii) of the Companies Act.</w:t>
      </w:r>
    </w:p>
  </w:footnote>
  <w:footnote w:id="106">
    <w:p w14:paraId="71ACC34D" w14:textId="77777777" w:rsidR="00592CD3" w:rsidRPr="00BB70D5" w:rsidRDefault="00592CD3"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003C2DCA" w:rsidRPr="00BB70D5">
        <w:rPr>
          <w:rFonts w:cs="Arial"/>
          <w:b/>
          <w:bCs/>
          <w:color w:val="A6A6A6" w:themeColor="background1" w:themeShade="A6"/>
          <w:sz w:val="16"/>
          <w:szCs w:val="16"/>
        </w:rPr>
        <w:t xml:space="preserve">Alterable provision: </w:t>
      </w:r>
      <w:r w:rsidR="003C2DCA" w:rsidRPr="00BB70D5">
        <w:rPr>
          <w:rFonts w:cs="Arial"/>
          <w:b/>
          <w:bCs/>
          <w:i/>
          <w:iCs/>
          <w:color w:val="A6A6A6" w:themeColor="background1" w:themeShade="A6"/>
          <w:sz w:val="16"/>
          <w:szCs w:val="16"/>
        </w:rPr>
        <w:t>Section 73(4):</w:t>
      </w:r>
      <w:r w:rsidR="003C2DCA" w:rsidRPr="00BB70D5">
        <w:rPr>
          <w:rFonts w:cs="Arial"/>
          <w:color w:val="A6A6A6" w:themeColor="background1" w:themeShade="A6"/>
          <w:sz w:val="16"/>
          <w:szCs w:val="16"/>
        </w:rPr>
        <w:t xml:space="preserve"> the MOI may set out certain procedural or other requirements that the board must comply with in respect of meetings. We generally don’t include any such requirements so as to allow the board as much procedural flexibility as possible.</w:t>
      </w:r>
    </w:p>
  </w:footnote>
  <w:footnote w:id="107">
    <w:p w14:paraId="4EB46B20" w14:textId="77777777" w:rsidR="003C2DCA" w:rsidRPr="00BB70D5" w:rsidRDefault="007F70C4"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003C2DCA" w:rsidRPr="00BB70D5">
        <w:rPr>
          <w:rFonts w:ascii="Arial" w:hAnsi="Arial" w:cs="Arial"/>
          <w:b/>
          <w:bCs/>
          <w:color w:val="A6A6A6" w:themeColor="background1" w:themeShade="A6"/>
          <w:sz w:val="16"/>
          <w:szCs w:val="16"/>
        </w:rPr>
        <w:t xml:space="preserve">Alterable provision: </w:t>
      </w:r>
      <w:r w:rsidR="003C2DCA" w:rsidRPr="00BB70D5">
        <w:rPr>
          <w:rFonts w:ascii="Arial" w:hAnsi="Arial" w:cs="Arial"/>
          <w:b/>
          <w:bCs/>
          <w:i/>
          <w:iCs/>
          <w:color w:val="A6A6A6" w:themeColor="background1" w:themeShade="A6"/>
          <w:sz w:val="16"/>
          <w:szCs w:val="16"/>
        </w:rPr>
        <w:t>Section 73(5)(a):</w:t>
      </w:r>
      <w:r w:rsidR="003C2DCA" w:rsidRPr="00BB70D5">
        <w:rPr>
          <w:rFonts w:ascii="Arial" w:hAnsi="Arial" w:cs="Arial"/>
          <w:color w:val="A6A6A6" w:themeColor="background1" w:themeShade="A6"/>
          <w:sz w:val="16"/>
          <w:szCs w:val="16"/>
        </w:rPr>
        <w:t xml:space="preserve"> except to the extent that the MOI provides otherwise, a meeting of directors may proceed even if the company failed to give the required notice of that meeting, or if the notice was defective, in certain circumstances.</w:t>
      </w:r>
    </w:p>
    <w:p w14:paraId="6558BC1F" w14:textId="1AC3D63F" w:rsidR="007F70C4" w:rsidRPr="00BB70D5" w:rsidRDefault="003C2DCA" w:rsidP="00BB70D5">
      <w:pPr>
        <w:keepNext/>
        <w:keepLines/>
        <w:spacing w:after="100" w:afterAutospacing="1" w:line="240" w:lineRule="auto"/>
        <w:rPr>
          <w:rFonts w:cs="Arial"/>
          <w:color w:val="A6A6A6" w:themeColor="background1" w:themeShade="A6"/>
          <w:sz w:val="16"/>
          <w:szCs w:val="16"/>
        </w:rPr>
      </w:pPr>
      <w:r w:rsidRPr="00BB70D5">
        <w:rPr>
          <w:rFonts w:cs="Arial"/>
          <w:b/>
          <w:bCs/>
          <w:color w:val="A6A6A6" w:themeColor="background1" w:themeShade="A6"/>
          <w:sz w:val="16"/>
          <w:szCs w:val="16"/>
          <w:lang w:eastAsia="en-ZA"/>
        </w:rPr>
        <w:t xml:space="preserve">►►►RED FLAG►►►: </w:t>
      </w:r>
      <w:r w:rsidRPr="00BB70D5">
        <w:rPr>
          <w:rFonts w:cs="Arial"/>
          <w:color w:val="A6A6A6" w:themeColor="background1" w:themeShade="A6"/>
          <w:sz w:val="16"/>
          <w:szCs w:val="16"/>
          <w:lang w:eastAsia="en-ZA"/>
        </w:rPr>
        <w:t>Only make changes to this clause in exceptional circumstances, otherwise directors’ meetings may be rendered invalid if procedural or notice requirements are not met.</w:t>
      </w:r>
    </w:p>
  </w:footnote>
  <w:footnote w:id="108">
    <w:p w14:paraId="443D865E" w14:textId="77777777" w:rsidR="007F70C4" w:rsidRPr="00AD1F75" w:rsidRDefault="007F70C4" w:rsidP="00351466">
      <w:pPr>
        <w:pStyle w:val="FootnoteText"/>
        <w:keepNext/>
        <w:keepLines/>
        <w:spacing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003C2DCA" w:rsidRPr="00BB70D5">
        <w:rPr>
          <w:rFonts w:cs="Arial"/>
          <w:b/>
          <w:bCs/>
          <w:color w:val="A6A6A6" w:themeColor="background1" w:themeShade="A6"/>
          <w:sz w:val="16"/>
          <w:szCs w:val="16"/>
        </w:rPr>
        <w:t xml:space="preserve">Alterable provision: </w:t>
      </w:r>
      <w:r w:rsidR="003C2DCA" w:rsidRPr="00BB70D5">
        <w:rPr>
          <w:rFonts w:cs="Arial"/>
          <w:b/>
          <w:bCs/>
          <w:i/>
          <w:iCs/>
          <w:color w:val="A6A6A6" w:themeColor="background1" w:themeShade="A6"/>
          <w:sz w:val="16"/>
          <w:szCs w:val="16"/>
        </w:rPr>
        <w:t xml:space="preserve">Section 73(3): </w:t>
      </w:r>
      <w:r w:rsidR="003C2DCA" w:rsidRPr="00BB70D5">
        <w:rPr>
          <w:rFonts w:cs="Arial"/>
          <w:color w:val="A6A6A6" w:themeColor="background1" w:themeShade="A6"/>
          <w:sz w:val="16"/>
          <w:szCs w:val="16"/>
        </w:rPr>
        <w:t>except to the extent that the Companies Act or the MOI provides otherwise, a meeting of the board may be conducted by electronic communication or one or more director may participate in a meeting by electronic communication, provided that all persons are able to communicate with each other without an intermediary and to participate effectively in the meeting.</w:t>
      </w:r>
    </w:p>
  </w:footnote>
  <w:footnote w:id="109">
    <w:p w14:paraId="597FDCE0" w14:textId="77777777" w:rsidR="007F70C4" w:rsidRPr="00BB70D5" w:rsidRDefault="007F70C4"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003C2DCA" w:rsidRPr="00BB70D5">
        <w:rPr>
          <w:rFonts w:cs="Arial"/>
          <w:b/>
          <w:bCs/>
          <w:color w:val="A6A6A6" w:themeColor="background1" w:themeShade="A6"/>
          <w:sz w:val="16"/>
          <w:szCs w:val="16"/>
        </w:rPr>
        <w:t>Alterable provision:</w:t>
      </w:r>
      <w:r w:rsidR="003C2DCA" w:rsidRPr="00BB70D5">
        <w:rPr>
          <w:rFonts w:cs="Arial"/>
          <w:color w:val="A6A6A6" w:themeColor="background1" w:themeShade="A6"/>
          <w:sz w:val="16"/>
          <w:szCs w:val="16"/>
        </w:rPr>
        <w:t xml:space="preserve"> </w:t>
      </w:r>
      <w:r w:rsidR="003C2DCA" w:rsidRPr="00BB70D5">
        <w:rPr>
          <w:rFonts w:cs="Arial"/>
          <w:b/>
          <w:bCs/>
          <w:i/>
          <w:iCs/>
          <w:color w:val="A6A6A6" w:themeColor="background1" w:themeShade="A6"/>
          <w:sz w:val="16"/>
          <w:szCs w:val="16"/>
        </w:rPr>
        <w:t>Section 73(5)(b):</w:t>
      </w:r>
      <w:r w:rsidR="003C2DCA" w:rsidRPr="00BB70D5">
        <w:rPr>
          <w:rFonts w:cs="Arial"/>
          <w:color w:val="A6A6A6" w:themeColor="background1" w:themeShade="A6"/>
          <w:sz w:val="16"/>
          <w:szCs w:val="16"/>
        </w:rPr>
        <w:t xml:space="preserve"> the MOI can include a different quorum requirement.</w:t>
      </w:r>
    </w:p>
  </w:footnote>
  <w:footnote w:id="110">
    <w:p w14:paraId="0AC3A4B3" w14:textId="77777777" w:rsidR="003C2DCA" w:rsidRPr="00BB70D5" w:rsidRDefault="003C2DCA"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73(5)(c):</w:t>
      </w:r>
      <w:r w:rsidRPr="00BB70D5">
        <w:rPr>
          <w:rFonts w:cs="Arial"/>
          <w:color w:val="A6A6A6" w:themeColor="background1" w:themeShade="A6"/>
          <w:sz w:val="16"/>
          <w:szCs w:val="16"/>
        </w:rPr>
        <w:t xml:space="preserve"> except to the extent that the MOI provides otherwise, each director has one vote on a matter before the board. We see this as the most common and most appropriate voting structure for governance purposes, but it is theoretically possible to have weighted director voting.</w:t>
      </w:r>
    </w:p>
  </w:footnote>
  <w:footnote w:id="111">
    <w:p w14:paraId="05645375" w14:textId="77777777" w:rsidR="003C2DCA" w:rsidRPr="00BB70D5" w:rsidRDefault="003C2DCA"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Section 73(5)(d):</w:t>
      </w:r>
      <w:r w:rsidRPr="00BB70D5">
        <w:rPr>
          <w:rFonts w:ascii="Arial" w:hAnsi="Arial" w:cs="Arial"/>
          <w:color w:val="A6A6A6" w:themeColor="background1" w:themeShade="A6"/>
          <w:sz w:val="16"/>
          <w:szCs w:val="16"/>
        </w:rPr>
        <w:t xml:space="preserve"> the MOI can determine another voting threshold for directors’ resolutions (i.e. a higher percentage, specific directors etc.).</w:t>
      </w:r>
    </w:p>
    <w:p w14:paraId="74E264ED" w14:textId="77777777" w:rsidR="003C2DCA" w:rsidRPr="00BB70D5" w:rsidRDefault="003C2DCA" w:rsidP="00351466">
      <w:pPr>
        <w:keepNext/>
        <w:keepLines/>
        <w:spacing w:after="100" w:afterAutospacing="1"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 xml:space="preserve">►►►RED FLAG►►►: </w:t>
      </w:r>
      <w:r w:rsidRPr="00BB70D5">
        <w:rPr>
          <w:rFonts w:cs="Arial"/>
          <w:color w:val="A6A6A6" w:themeColor="background1" w:themeShade="A6"/>
          <w:sz w:val="16"/>
          <w:szCs w:val="16"/>
          <w:lang w:eastAsia="en-ZA"/>
        </w:rPr>
        <w:t>Be careful not to meddle with the concept of equal discretion on board level. What that means, is that directors should be able to apply their discretion on equal grounds in the best interests of the company. This is healthy corporate governance rather than a legal requirement, but your client is likely to be the company and it is not in the best interest of the company to give one director an unhealthy level of control over the board.</w:t>
      </w:r>
    </w:p>
  </w:footnote>
  <w:footnote w:id="112">
    <w:p w14:paraId="368AE892" w14:textId="77777777" w:rsidR="003C2DCA" w:rsidRPr="00BB70D5" w:rsidRDefault="003C2DCA"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Section 73(5)(e)(i)</w:t>
      </w:r>
      <w:r w:rsidRPr="00BB70D5">
        <w:rPr>
          <w:rFonts w:ascii="Arial" w:hAnsi="Arial" w:cs="Arial"/>
          <w:b/>
          <w:bCs/>
          <w:color w:val="A6A6A6" w:themeColor="background1" w:themeShade="A6"/>
          <w:sz w:val="16"/>
          <w:szCs w:val="16"/>
        </w:rPr>
        <w:t>:</w:t>
      </w:r>
      <w:r w:rsidRPr="00BB70D5">
        <w:rPr>
          <w:rFonts w:ascii="Arial" w:hAnsi="Arial" w:cs="Arial"/>
          <w:color w:val="A6A6A6" w:themeColor="background1" w:themeShade="A6"/>
          <w:sz w:val="16"/>
          <w:szCs w:val="16"/>
        </w:rPr>
        <w:t xml:space="preserve"> except to the extent that the MOI provides otherwise, in the case of a tied voted, the chair may cast a deciding vote if he did not have an initial vote. Our standard MOI has changed the default position to provide that the chairperson of a board meeting cannot exercise a casting vote.</w:t>
      </w:r>
      <w:r w:rsidR="00CB03B5" w:rsidRPr="00BB70D5">
        <w:rPr>
          <w:rFonts w:ascii="Arial" w:hAnsi="Arial" w:cs="Arial"/>
          <w:color w:val="A6A6A6" w:themeColor="background1" w:themeShade="A6"/>
          <w:sz w:val="16"/>
          <w:szCs w:val="16"/>
        </w:rPr>
        <w:t xml:space="preserve"> </w:t>
      </w:r>
      <w:r w:rsidR="00CB03B5" w:rsidRPr="00BB70D5">
        <w:rPr>
          <w:rFonts w:ascii="Arial" w:eastAsia="Arial" w:hAnsi="Arial" w:cs="Arial"/>
          <w:color w:val="A6A6A6" w:themeColor="background1" w:themeShade="A6"/>
          <w:sz w:val="16"/>
          <w:szCs w:val="16"/>
          <w:lang w:val="en-US" w:eastAsia="en-US"/>
        </w:rPr>
        <w:t xml:space="preserve">An alternative may be for the matter to revert to shareholders' for decision. Clients sometimes prefer this, as having all deadlocked decisions fail might limit progress in the company and it plays in the hands of a director who aims to maintain the </w:t>
      </w:r>
      <w:r w:rsidR="00CB03B5" w:rsidRPr="00BB70D5">
        <w:rPr>
          <w:rFonts w:ascii="Arial" w:eastAsia="Arial" w:hAnsi="Arial" w:cs="Arial"/>
          <w:i/>
          <w:iCs/>
          <w:color w:val="A6A6A6" w:themeColor="background1" w:themeShade="A6"/>
          <w:sz w:val="16"/>
          <w:szCs w:val="16"/>
          <w:lang w:val="en-US" w:eastAsia="en-US"/>
        </w:rPr>
        <w:t>status quo</w:t>
      </w:r>
      <w:r w:rsidR="00CB03B5" w:rsidRPr="00BB70D5">
        <w:rPr>
          <w:rFonts w:ascii="Arial" w:eastAsia="Arial" w:hAnsi="Arial" w:cs="Arial"/>
          <w:color w:val="A6A6A6" w:themeColor="background1" w:themeShade="A6"/>
          <w:sz w:val="16"/>
          <w:szCs w:val="16"/>
          <w:lang w:val="en-US" w:eastAsia="en-US"/>
        </w:rPr>
        <w:t>.</w:t>
      </w:r>
    </w:p>
  </w:footnote>
  <w:footnote w:id="113">
    <w:p w14:paraId="6EEAEE99" w14:textId="77777777" w:rsidR="00C3223F" w:rsidRPr="00BB70D5" w:rsidRDefault="00C3223F"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73(6)(b): </w:t>
      </w:r>
      <w:r w:rsidRPr="00BB70D5">
        <w:rPr>
          <w:rFonts w:cs="Arial"/>
          <w:color w:val="A6A6A6" w:themeColor="background1" w:themeShade="A6"/>
          <w:sz w:val="16"/>
          <w:szCs w:val="16"/>
        </w:rPr>
        <w:t>sets out this unalterable provision.</w:t>
      </w:r>
    </w:p>
  </w:footnote>
  <w:footnote w:id="114">
    <w:p w14:paraId="2A1B52FC" w14:textId="77777777" w:rsidR="00C3223F" w:rsidRPr="00BB70D5" w:rsidRDefault="00C3223F"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73(7): </w:t>
      </w:r>
      <w:r w:rsidRPr="00BB70D5">
        <w:rPr>
          <w:rFonts w:cs="Arial"/>
          <w:color w:val="A6A6A6" w:themeColor="background1" w:themeShade="A6"/>
          <w:sz w:val="16"/>
          <w:szCs w:val="16"/>
        </w:rPr>
        <w:t>sets out this unalterable provision.</w:t>
      </w:r>
    </w:p>
  </w:footnote>
  <w:footnote w:id="115">
    <w:p w14:paraId="14CAB2C7" w14:textId="77777777" w:rsidR="00C3223F" w:rsidRPr="00AD1F75" w:rsidRDefault="00C3223F" w:rsidP="00351466">
      <w:pPr>
        <w:pStyle w:val="FootnoteText"/>
        <w:keepNext/>
        <w:keepLines/>
        <w:spacing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73(8): </w:t>
      </w:r>
      <w:r w:rsidRPr="00BB70D5">
        <w:rPr>
          <w:rFonts w:cs="Arial"/>
          <w:color w:val="A6A6A6" w:themeColor="background1" w:themeShade="A6"/>
          <w:sz w:val="16"/>
          <w:szCs w:val="16"/>
        </w:rPr>
        <w:t>sets out this unalterable provision.</w:t>
      </w:r>
    </w:p>
  </w:footnote>
  <w:footnote w:id="116">
    <w:p w14:paraId="659A8DC8" w14:textId="77777777" w:rsidR="00C3223F" w:rsidRPr="00BB70D5" w:rsidRDefault="00C3223F"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74(2): </w:t>
      </w:r>
      <w:r w:rsidRPr="00BB70D5">
        <w:rPr>
          <w:rFonts w:cs="Arial"/>
          <w:color w:val="A6A6A6" w:themeColor="background1" w:themeShade="A6"/>
          <w:sz w:val="16"/>
          <w:szCs w:val="16"/>
        </w:rPr>
        <w:t>sets out this unalterable provision. This is to ensure that any resolutions passed other than at meetings (i.e. round robin resolutions) carry the same weight as those passed at meetings.</w:t>
      </w:r>
    </w:p>
  </w:footnote>
  <w:footnote w:id="117">
    <w:p w14:paraId="3A7945BA" w14:textId="77777777" w:rsidR="00C3223F" w:rsidRPr="00AD1F75" w:rsidRDefault="00C3223F" w:rsidP="00351466">
      <w:pPr>
        <w:pStyle w:val="FootnoteText"/>
        <w:keepNext/>
        <w:keepLines/>
        <w:spacing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 xml:space="preserve">Alterable provision: </w:t>
      </w:r>
      <w:r w:rsidRPr="00BB70D5">
        <w:rPr>
          <w:rFonts w:cs="Arial"/>
          <w:b/>
          <w:bCs/>
          <w:i/>
          <w:iCs/>
          <w:color w:val="A6A6A6" w:themeColor="background1" w:themeShade="A6"/>
          <w:sz w:val="16"/>
          <w:szCs w:val="16"/>
        </w:rPr>
        <w:t>Section 74(1)</w:t>
      </w:r>
      <w:r w:rsidRPr="00BB70D5">
        <w:rPr>
          <w:rFonts w:cs="Arial"/>
          <w:b/>
          <w:bCs/>
          <w:color w:val="A6A6A6" w:themeColor="background1" w:themeShade="A6"/>
          <w:sz w:val="16"/>
          <w:szCs w:val="16"/>
        </w:rPr>
        <w:t>:</w:t>
      </w:r>
      <w:r w:rsidRPr="00BB70D5">
        <w:rPr>
          <w:rFonts w:cs="Arial"/>
          <w:color w:val="A6A6A6" w:themeColor="background1" w:themeShade="A6"/>
          <w:sz w:val="16"/>
          <w:szCs w:val="16"/>
        </w:rPr>
        <w:t xml:space="preserve"> the MOI can determine that resolutions may not be passed other than at meetings, but this should be avoided as it might be impractical for directors to always pass resolutions at meetings.</w:t>
      </w:r>
    </w:p>
  </w:footnote>
  <w:footnote w:id="118">
    <w:p w14:paraId="671DB41D" w14:textId="77777777" w:rsidR="00C3223F" w:rsidRPr="00BB70D5" w:rsidRDefault="00C3223F"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 xml:space="preserve">Section 86: </w:t>
      </w:r>
      <w:r w:rsidRPr="00BB70D5">
        <w:rPr>
          <w:rFonts w:ascii="Arial" w:hAnsi="Arial" w:cs="Arial"/>
          <w:color w:val="A6A6A6" w:themeColor="background1" w:themeShade="A6"/>
          <w:sz w:val="16"/>
          <w:szCs w:val="16"/>
        </w:rPr>
        <w:t>only public and state-owned companies are required to appoint company secretaries. In some cases large private companies may require the board to appoint a company secretary. In that case you can record that in the MOI. Please note, however, that this would not be appropriate for small or early stage private companies.</w:t>
      </w:r>
    </w:p>
    <w:p w14:paraId="7993A6B5" w14:textId="77777777" w:rsidR="00C3223F" w:rsidRPr="00AD1F75" w:rsidRDefault="00C3223F" w:rsidP="00351466">
      <w:pPr>
        <w:pStyle w:val="FootnoteText"/>
        <w:keepNext/>
        <w:keepLines/>
        <w:spacing w:line="240" w:lineRule="auto"/>
        <w:rPr>
          <w:rFonts w:cs="Arial"/>
          <w:sz w:val="16"/>
          <w:szCs w:val="16"/>
          <w:lang w:val="en-ZA"/>
        </w:rPr>
      </w:pPr>
    </w:p>
  </w:footnote>
  <w:footnote w:id="119">
    <w:p w14:paraId="5E14CCC2" w14:textId="77777777" w:rsidR="006F3D5F" w:rsidRPr="00BB70D5" w:rsidRDefault="006F3D5F"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►►►RED FLAG►►►: </w:t>
      </w:r>
      <w:r w:rsidRPr="00BB70D5">
        <w:rPr>
          <w:rFonts w:ascii="Arial" w:hAnsi="Arial" w:cs="Arial"/>
          <w:b/>
          <w:bCs/>
          <w:i/>
          <w:iCs/>
          <w:color w:val="A6A6A6" w:themeColor="background1" w:themeShade="A6"/>
          <w:sz w:val="16"/>
          <w:szCs w:val="16"/>
        </w:rPr>
        <w:t>Section 78(2):</w:t>
      </w:r>
      <w:r w:rsidRPr="00BB70D5">
        <w:rPr>
          <w:rFonts w:ascii="Arial" w:hAnsi="Arial" w:cs="Arial"/>
          <w:b/>
          <w:bCs/>
          <w:color w:val="A6A6A6" w:themeColor="background1" w:themeShade="A6"/>
          <w:sz w:val="16"/>
          <w:szCs w:val="16"/>
        </w:rPr>
        <w:t xml:space="preserve"> </w:t>
      </w:r>
      <w:r w:rsidRPr="00BB70D5">
        <w:rPr>
          <w:rFonts w:ascii="Arial" w:hAnsi="Arial" w:cs="Arial"/>
          <w:color w:val="A6A6A6" w:themeColor="background1" w:themeShade="A6"/>
          <w:sz w:val="16"/>
          <w:szCs w:val="16"/>
        </w:rPr>
        <w:t>Any provision of an agreement, MOI or rules purporting to relieve a director of his duties or liability or to negate, limit or restrict any legal consequences arising from a director's willful breach of trust, is void.</w:t>
      </w:r>
    </w:p>
    <w:p w14:paraId="5F0012A7" w14:textId="77777777" w:rsidR="006F3D5F" w:rsidRPr="00BB70D5" w:rsidRDefault="006F3D5F" w:rsidP="00351466">
      <w:pPr>
        <w:keepNext/>
        <w:keepLines/>
        <w:spacing w:after="100" w:afterAutospacing="1" w:line="240" w:lineRule="auto"/>
        <w:rPr>
          <w:rFonts w:cs="Arial"/>
          <w:color w:val="A6A6A6" w:themeColor="background1" w:themeShade="A6"/>
          <w:sz w:val="16"/>
          <w:szCs w:val="16"/>
          <w:lang w:eastAsia="en-ZA"/>
        </w:rPr>
      </w:pPr>
      <w:r w:rsidRPr="00BB70D5">
        <w:rPr>
          <w:rFonts w:cs="Arial"/>
          <w:b/>
          <w:bCs/>
          <w:color w:val="A6A6A6" w:themeColor="background1" w:themeShade="A6"/>
          <w:sz w:val="16"/>
          <w:szCs w:val="16"/>
          <w:lang w:eastAsia="en-ZA"/>
        </w:rPr>
        <w:t>Alterable Provision:</w:t>
      </w:r>
      <w:r w:rsidRPr="00BB70D5">
        <w:rPr>
          <w:rFonts w:cs="Arial"/>
          <w:color w:val="A6A6A6" w:themeColor="background1" w:themeShade="A6"/>
          <w:sz w:val="16"/>
          <w:szCs w:val="16"/>
          <w:lang w:eastAsia="en-ZA"/>
        </w:rPr>
        <w:t xml:space="preserve"> </w:t>
      </w:r>
      <w:r w:rsidRPr="00BB70D5">
        <w:rPr>
          <w:rFonts w:cs="Arial"/>
          <w:b/>
          <w:bCs/>
          <w:i/>
          <w:iCs/>
          <w:color w:val="A6A6A6" w:themeColor="background1" w:themeShade="A6"/>
          <w:sz w:val="16"/>
          <w:szCs w:val="16"/>
          <w:lang w:eastAsia="en-ZA"/>
        </w:rPr>
        <w:t>Section 19(2):</w:t>
      </w:r>
      <w:r w:rsidRPr="00BB70D5">
        <w:rPr>
          <w:rFonts w:cs="Arial"/>
          <w:color w:val="A6A6A6" w:themeColor="background1" w:themeShade="A6"/>
          <w:sz w:val="16"/>
          <w:szCs w:val="16"/>
          <w:lang w:eastAsia="en-ZA"/>
        </w:rPr>
        <w:t xml:space="preserve"> an incorporator, shareholder or director will not be liable for any liabilities of the company solely by holding such position, unless the Companies Act or the MOI provides otherwise. However, you are unlikely to be required to include a provision such as this in a simple MOI.</w:t>
      </w:r>
    </w:p>
  </w:footnote>
  <w:footnote w:id="120">
    <w:p w14:paraId="3887289A" w14:textId="77777777" w:rsidR="006F3D5F" w:rsidRPr="00BB70D5" w:rsidRDefault="006F3D5F"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78(1):</w:t>
      </w:r>
      <w:r w:rsidRPr="00BB70D5">
        <w:rPr>
          <w:rFonts w:cs="Arial"/>
          <w:color w:val="A6A6A6" w:themeColor="background1" w:themeShade="A6"/>
          <w:sz w:val="16"/>
          <w:szCs w:val="16"/>
        </w:rPr>
        <w:t xml:space="preserve"> sets out this unalterable provision.</w:t>
      </w:r>
    </w:p>
  </w:footnote>
  <w:footnote w:id="121">
    <w:p w14:paraId="51BC377A" w14:textId="77777777" w:rsidR="006F3D5F" w:rsidRPr="00BB70D5" w:rsidRDefault="006F3D5F"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Section 78(3):</w:t>
      </w:r>
      <w:r w:rsidRPr="00BB70D5">
        <w:rPr>
          <w:rFonts w:cs="Arial"/>
          <w:color w:val="A6A6A6" w:themeColor="background1" w:themeShade="A6"/>
          <w:sz w:val="16"/>
          <w:szCs w:val="16"/>
        </w:rPr>
        <w:t xml:space="preserve"> sets out this unalterable provision.</w:t>
      </w:r>
    </w:p>
  </w:footnote>
  <w:footnote w:id="122">
    <w:p w14:paraId="6AE71EF1" w14:textId="77777777" w:rsidR="006F3D5F" w:rsidRPr="00BB70D5" w:rsidRDefault="006F3D5F"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 xml:space="preserve">Section 78(4)(a): </w:t>
      </w:r>
      <w:r w:rsidRPr="00BB70D5">
        <w:rPr>
          <w:rFonts w:ascii="Arial" w:hAnsi="Arial" w:cs="Arial"/>
          <w:color w:val="A6A6A6" w:themeColor="background1" w:themeShade="A6"/>
          <w:sz w:val="16"/>
          <w:szCs w:val="16"/>
        </w:rPr>
        <w:t>provides that the MOI may restrict the company from advancing expenses in this regard. Our standard MOI does not deviate from the default position, but you can amend it if required by your client.</w:t>
      </w:r>
    </w:p>
  </w:footnote>
  <w:footnote w:id="123">
    <w:p w14:paraId="1B49997B" w14:textId="77777777" w:rsidR="006F3D5F" w:rsidRPr="00BB70D5" w:rsidRDefault="006F3D5F"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 xml:space="preserve">Section 78(5): </w:t>
      </w:r>
      <w:r w:rsidRPr="00BB70D5">
        <w:rPr>
          <w:rFonts w:ascii="Arial" w:hAnsi="Arial" w:cs="Arial"/>
          <w:color w:val="A6A6A6" w:themeColor="background1" w:themeShade="A6"/>
          <w:sz w:val="16"/>
          <w:szCs w:val="16"/>
        </w:rPr>
        <w:t>provides that the MOI may restrict the company from indemnifying the director in this regard or make this subject to certain conditions. Our standard MOI does not deviate from the default position, but you can amend it if required by your client.</w:t>
      </w:r>
    </w:p>
  </w:footnote>
  <w:footnote w:id="124">
    <w:p w14:paraId="006AAFC7" w14:textId="77777777" w:rsidR="006F3D5F" w:rsidRPr="00BB70D5" w:rsidRDefault="006F3D5F"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78(6)(a): </w:t>
      </w:r>
      <w:r w:rsidRPr="00BB70D5">
        <w:rPr>
          <w:rFonts w:cs="Arial"/>
          <w:color w:val="A6A6A6" w:themeColor="background1" w:themeShade="A6"/>
          <w:sz w:val="16"/>
          <w:szCs w:val="16"/>
        </w:rPr>
        <w:t>sets out this unalterable provision.</w:t>
      </w:r>
    </w:p>
  </w:footnote>
  <w:footnote w:id="125">
    <w:p w14:paraId="7CB9388D" w14:textId="77777777" w:rsidR="006F3D5F" w:rsidRPr="00BB70D5" w:rsidRDefault="006F3D5F" w:rsidP="00351466">
      <w:pPr>
        <w:pStyle w:val="FootnoteText"/>
        <w:keepNext/>
        <w:keepLines/>
        <w:spacing w:line="240" w:lineRule="auto"/>
        <w:rPr>
          <w:rFonts w:cs="Arial"/>
          <w:color w:val="A6A6A6" w:themeColor="background1" w:themeShade="A6"/>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Unalterable provision:</w:t>
      </w:r>
      <w:r w:rsidRPr="00BB70D5">
        <w:rPr>
          <w:rFonts w:cs="Arial"/>
          <w:color w:val="A6A6A6" w:themeColor="background1" w:themeShade="A6"/>
          <w:sz w:val="16"/>
          <w:szCs w:val="16"/>
        </w:rPr>
        <w:t xml:space="preserve"> </w:t>
      </w:r>
      <w:r w:rsidRPr="00BB70D5">
        <w:rPr>
          <w:rFonts w:cs="Arial"/>
          <w:b/>
          <w:bCs/>
          <w:i/>
          <w:iCs/>
          <w:color w:val="A6A6A6" w:themeColor="background1" w:themeShade="A6"/>
          <w:sz w:val="16"/>
          <w:szCs w:val="16"/>
        </w:rPr>
        <w:t xml:space="preserve">Section 78(6)(b): </w:t>
      </w:r>
      <w:r w:rsidRPr="00BB70D5">
        <w:rPr>
          <w:rFonts w:cs="Arial"/>
          <w:color w:val="A6A6A6" w:themeColor="background1" w:themeShade="A6"/>
          <w:sz w:val="16"/>
          <w:szCs w:val="16"/>
        </w:rPr>
        <w:t>sets out this unalterable provision.</w:t>
      </w:r>
    </w:p>
  </w:footnote>
  <w:footnote w:id="126">
    <w:p w14:paraId="0CBFC03F" w14:textId="77777777" w:rsidR="006F3D5F" w:rsidRPr="00BB70D5" w:rsidRDefault="006F3D5F"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 xml:space="preserve">Section 78(4)(b): </w:t>
      </w:r>
      <w:r w:rsidRPr="00BB70D5">
        <w:rPr>
          <w:rFonts w:ascii="Arial" w:hAnsi="Arial" w:cs="Arial"/>
          <w:color w:val="A6A6A6" w:themeColor="background1" w:themeShade="A6"/>
          <w:sz w:val="16"/>
          <w:szCs w:val="16"/>
        </w:rPr>
        <w:t>provides that the MOI may restrict the company from indemnifying the director in this regard or make this subject to certain conditions. Our standard MOI does not deviate from the default position, but you can amend it if required by the client.</w:t>
      </w:r>
    </w:p>
    <w:p w14:paraId="333ED84D" w14:textId="77777777" w:rsidR="006F3D5F" w:rsidRPr="00AD1F75" w:rsidRDefault="006F3D5F" w:rsidP="00351466">
      <w:pPr>
        <w:pStyle w:val="FootnoteText"/>
        <w:keepNext/>
        <w:keepLines/>
        <w:spacing w:line="240" w:lineRule="auto"/>
        <w:rPr>
          <w:rFonts w:cs="Arial"/>
          <w:sz w:val="16"/>
          <w:szCs w:val="16"/>
          <w:lang w:val="en-ZA"/>
        </w:rPr>
      </w:pPr>
    </w:p>
  </w:footnote>
  <w:footnote w:id="127">
    <w:p w14:paraId="5EF2DD24" w14:textId="591C109A" w:rsidR="00707D8E" w:rsidRPr="00BB70D5" w:rsidRDefault="00707D8E">
      <w:pPr>
        <w:pStyle w:val="FootnoteText"/>
        <w:rPr>
          <w:rFonts w:cs="Arial"/>
          <w:color w:val="A6A6A6" w:themeColor="background1" w:themeShade="A6"/>
          <w:sz w:val="16"/>
          <w:szCs w:val="16"/>
          <w:lang w:val="en-US"/>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color w:val="A6A6A6" w:themeColor="background1" w:themeShade="A6"/>
          <w:sz w:val="16"/>
          <w:szCs w:val="16"/>
        </w:rPr>
        <w:t xml:space="preserve">Alterable provision: </w:t>
      </w:r>
      <w:r w:rsidRPr="00BB70D5">
        <w:rPr>
          <w:rFonts w:cs="Arial"/>
          <w:b/>
          <w:i/>
          <w:color w:val="A6A6A6" w:themeColor="background1" w:themeShade="A6"/>
          <w:sz w:val="16"/>
          <w:szCs w:val="16"/>
        </w:rPr>
        <w:t xml:space="preserve">Section 78(7)(a): </w:t>
      </w:r>
      <w:r w:rsidRPr="00BB70D5">
        <w:rPr>
          <w:rFonts w:cs="Arial"/>
          <w:color w:val="A6A6A6" w:themeColor="background1" w:themeShade="A6"/>
          <w:sz w:val="16"/>
          <w:szCs w:val="16"/>
        </w:rPr>
        <w:t>provides that the MOI may restrict the company from purchasing insurance to protect the director from liability arising from litigation or make this subject to certain conditions.</w:t>
      </w:r>
    </w:p>
  </w:footnote>
  <w:footnote w:id="128">
    <w:p w14:paraId="435A671F" w14:textId="77777777" w:rsidR="006F3D5F" w:rsidRPr="00BB70D5" w:rsidRDefault="006F3D5F"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 xml:space="preserve">Section 78(7)(a): </w:t>
      </w:r>
      <w:r w:rsidRPr="00BB70D5">
        <w:rPr>
          <w:rFonts w:ascii="Arial" w:hAnsi="Arial" w:cs="Arial"/>
          <w:color w:val="A6A6A6" w:themeColor="background1" w:themeShade="A6"/>
          <w:sz w:val="16"/>
          <w:szCs w:val="16"/>
        </w:rPr>
        <w:t xml:space="preserve">provides that the MOI may restrict the company from purchasing insurance to protect the director from liability arising from litigation or make this subject to certain conditions. Our standard MOI does not deviate from the default position, but you can amend it if required by the client. </w:t>
      </w:r>
    </w:p>
  </w:footnote>
  <w:footnote w:id="129">
    <w:p w14:paraId="20119467" w14:textId="77777777" w:rsidR="006F3D5F" w:rsidRPr="00BB70D5" w:rsidRDefault="006F3D5F" w:rsidP="00351466">
      <w:pPr>
        <w:pStyle w:val="pf0"/>
        <w:keepNext/>
        <w:keepLines/>
        <w:spacing w:before="0" w:beforeAutospacing="0"/>
        <w:jc w:val="both"/>
        <w:rPr>
          <w:rFonts w:ascii="Arial" w:hAnsi="Arial" w:cs="Arial"/>
          <w:color w:val="A6A6A6" w:themeColor="background1" w:themeShade="A6"/>
          <w:sz w:val="16"/>
          <w:szCs w:val="16"/>
        </w:rPr>
      </w:pPr>
      <w:r w:rsidRPr="00BB70D5">
        <w:rPr>
          <w:rStyle w:val="FootnoteReference"/>
          <w:rFonts w:ascii="Arial" w:hAnsi="Arial" w:cs="Arial"/>
          <w:color w:val="A6A6A6" w:themeColor="background1" w:themeShade="A6"/>
          <w:sz w:val="16"/>
          <w:szCs w:val="16"/>
        </w:rPr>
        <w:footnoteRef/>
      </w:r>
      <w:r w:rsidRPr="00BB70D5">
        <w:rPr>
          <w:rFonts w:ascii="Arial" w:hAnsi="Arial" w:cs="Arial"/>
          <w:color w:val="A6A6A6" w:themeColor="background1" w:themeShade="A6"/>
          <w:sz w:val="16"/>
          <w:szCs w:val="16"/>
        </w:rPr>
        <w:t xml:space="preserve"> </w:t>
      </w:r>
      <w:r w:rsidRPr="00BB70D5">
        <w:rPr>
          <w:rFonts w:ascii="Arial" w:hAnsi="Arial" w:cs="Arial"/>
          <w:b/>
          <w:bCs/>
          <w:color w:val="A6A6A6" w:themeColor="background1" w:themeShade="A6"/>
          <w:sz w:val="16"/>
          <w:szCs w:val="16"/>
        </w:rPr>
        <w:t xml:space="preserve">Alterable provision: </w:t>
      </w:r>
      <w:r w:rsidRPr="00BB70D5">
        <w:rPr>
          <w:rFonts w:ascii="Arial" w:hAnsi="Arial" w:cs="Arial"/>
          <w:b/>
          <w:bCs/>
          <w:i/>
          <w:iCs/>
          <w:color w:val="A6A6A6" w:themeColor="background1" w:themeShade="A6"/>
          <w:sz w:val="16"/>
          <w:szCs w:val="16"/>
        </w:rPr>
        <w:t>Section 78(7)(b)(ii):</w:t>
      </w:r>
      <w:r w:rsidRPr="00BB70D5">
        <w:rPr>
          <w:rFonts w:ascii="Arial" w:hAnsi="Arial" w:cs="Arial"/>
          <w:color w:val="A6A6A6" w:themeColor="background1" w:themeShade="A6"/>
          <w:sz w:val="16"/>
          <w:szCs w:val="16"/>
        </w:rPr>
        <w:t xml:space="preserve"> provides that the MOI may restrict the company from purchasing insurance to cover its expenses if it indemnifies a director in terms of clause 29.2.3.1. Our standard MOI does not deviate from the default position, but you can amend it if required by the client.</w:t>
      </w:r>
    </w:p>
  </w:footnote>
  <w:footnote w:id="130">
    <w:p w14:paraId="21152ED8" w14:textId="77777777" w:rsidR="006F3D5F" w:rsidRPr="00AD1F75" w:rsidRDefault="006F3D5F" w:rsidP="00351466">
      <w:pPr>
        <w:pStyle w:val="FootnoteText"/>
        <w:keepNext/>
        <w:keepLines/>
        <w:spacing w:line="240" w:lineRule="auto"/>
        <w:rPr>
          <w:rFonts w:cs="Arial"/>
          <w:sz w:val="16"/>
          <w:szCs w:val="16"/>
          <w:lang w:val="en-ZA"/>
        </w:rPr>
      </w:pPr>
      <w:r w:rsidRPr="00BB70D5">
        <w:rPr>
          <w:rStyle w:val="FootnoteReference"/>
          <w:rFonts w:cs="Arial"/>
          <w:color w:val="A6A6A6" w:themeColor="background1" w:themeShade="A6"/>
          <w:sz w:val="16"/>
          <w:szCs w:val="16"/>
        </w:rPr>
        <w:footnoteRef/>
      </w:r>
      <w:r w:rsidRPr="00BB70D5">
        <w:rPr>
          <w:rFonts w:cs="Arial"/>
          <w:color w:val="A6A6A6" w:themeColor="background1" w:themeShade="A6"/>
          <w:sz w:val="16"/>
          <w:szCs w:val="16"/>
        </w:rPr>
        <w:t xml:space="preserve"> </w:t>
      </w:r>
      <w:r w:rsidRPr="00BB70D5">
        <w:rPr>
          <w:rFonts w:cs="Arial"/>
          <w:b/>
          <w:bCs/>
          <w:color w:val="A6A6A6" w:themeColor="background1" w:themeShade="A6"/>
          <w:sz w:val="16"/>
          <w:szCs w:val="16"/>
        </w:rPr>
        <w:t xml:space="preserve">Unalterable provision: </w:t>
      </w:r>
      <w:r w:rsidRPr="00BB70D5">
        <w:rPr>
          <w:rFonts w:cs="Arial"/>
          <w:b/>
          <w:bCs/>
          <w:i/>
          <w:iCs/>
          <w:color w:val="A6A6A6" w:themeColor="background1" w:themeShade="A6"/>
          <w:sz w:val="16"/>
          <w:szCs w:val="16"/>
        </w:rPr>
        <w:t>Section 78(8):</w:t>
      </w:r>
      <w:r w:rsidRPr="00BB70D5">
        <w:rPr>
          <w:rFonts w:cs="Arial"/>
          <w:color w:val="A6A6A6" w:themeColor="background1" w:themeShade="A6"/>
          <w:sz w:val="16"/>
          <w:szCs w:val="16"/>
        </w:rPr>
        <w:t xml:space="preserve"> sets out this unalterable provision in order to allow the company to claim back any funds paid to a director in contravention of section 78 of the Companies Act.</w:t>
      </w:r>
    </w:p>
  </w:footnote>
  <w:footnote w:id="131">
    <w:p w14:paraId="232284EE" w14:textId="432A86EE" w:rsidR="00F4604A" w:rsidRPr="005E7A6B" w:rsidRDefault="00F4604A">
      <w:pPr>
        <w:pStyle w:val="FootnoteText"/>
        <w:rPr>
          <w:lang w:val="en-ZA"/>
        </w:rPr>
      </w:pPr>
      <w:r>
        <w:rPr>
          <w:rStyle w:val="FootnoteReference"/>
        </w:rPr>
        <w:footnoteRef/>
      </w:r>
      <w:r>
        <w:t xml:space="preserve"> </w:t>
      </w:r>
      <w:r w:rsidR="002A7E3B" w:rsidRPr="002A7E3B">
        <w:rPr>
          <w:lang w:val="en-ZA"/>
        </w:rPr>
        <w:t xml:space="preserve">The MOI has been drafted to flexibly incorporate numerous classes of Preference Shares. Where more than one class of Preference Shares exist, each class’s relative rights, preferences and limitations will be described in the Annexure/s.  Note, it may be easier for a reader to see the relative seniority of each class of Preference Shares in one annexure, but separate annexures for each class of Preference Share can be used where appropriate. </w:t>
      </w:r>
      <w:r w:rsidR="002A7E3B">
        <w:rPr>
          <w:lang w:val="en-ZA"/>
        </w:rPr>
        <w:t xml:space="preserve"> </w:t>
      </w:r>
      <w:r w:rsidR="00C03060">
        <w:rPr>
          <w:lang w:val="en-ZA"/>
        </w:rPr>
        <w:t xml:space="preserve">. </w:t>
      </w:r>
    </w:p>
  </w:footnote>
  <w:footnote w:id="132">
    <w:p w14:paraId="169B73A3" w14:textId="72F7CD54" w:rsidR="00212F81" w:rsidRPr="00AD1F75" w:rsidRDefault="00212F81" w:rsidP="00F26F69">
      <w:pPr>
        <w:pStyle w:val="DAFN"/>
      </w:pPr>
      <w:r w:rsidRPr="00AD1F75">
        <w:rPr>
          <w:rStyle w:val="FootnoteReference"/>
        </w:rPr>
        <w:footnoteRef/>
      </w:r>
      <w:r w:rsidRPr="00AD1F75">
        <w:t xml:space="preserve"> If accruing dividends apply, change wording to </w:t>
      </w:r>
      <w:r w:rsidR="006A005A">
        <w:t>"</w:t>
      </w:r>
      <w:r w:rsidRPr="00AD1F75">
        <w:t>plus accrued and unpaid accruing dividends or other dividends which have been declared by the Board but remain unpaid</w:t>
      </w:r>
      <w:r w:rsidR="006A005A">
        <w:t>"</w:t>
      </w:r>
      <w:r w:rsidRPr="00AD1F75">
        <w:t xml:space="preserve"> </w:t>
      </w:r>
    </w:p>
  </w:footnote>
  <w:footnote w:id="133">
    <w:p w14:paraId="5999713C" w14:textId="4EEC6016" w:rsidR="00212F81" w:rsidRPr="00AD1F75" w:rsidRDefault="00212F81" w:rsidP="00212F81">
      <w:pPr>
        <w:pStyle w:val="FootnoteText"/>
        <w:spacing w:after="0" w:line="240" w:lineRule="auto"/>
        <w:jc w:val="left"/>
        <w:rPr>
          <w:rFonts w:cs="Arial"/>
          <w:sz w:val="16"/>
          <w:szCs w:val="16"/>
        </w:rPr>
      </w:pPr>
      <w:r w:rsidRPr="00AD1F75">
        <w:rPr>
          <w:rStyle w:val="FootnoteReference"/>
          <w:rFonts w:cs="Arial"/>
          <w:sz w:val="16"/>
          <w:szCs w:val="16"/>
        </w:rPr>
        <w:footnoteRef/>
      </w:r>
      <w:r w:rsidRPr="00AD1F75">
        <w:rPr>
          <w:rStyle w:val="FootnoteReference"/>
          <w:rFonts w:cs="Arial"/>
          <w:sz w:val="16"/>
          <w:szCs w:val="16"/>
        </w:rPr>
        <w:t xml:space="preserve">  </w:t>
      </w:r>
      <w:r w:rsidRPr="00AD1F75">
        <w:rPr>
          <w:rFonts w:cs="Arial"/>
          <w:sz w:val="16"/>
          <w:szCs w:val="16"/>
        </w:rPr>
        <w:t xml:space="preserve">If there is a Capped Participating Preference, use this wording: </w:t>
      </w:r>
    </w:p>
    <w:p w14:paraId="28BF09F7" w14:textId="77777777" w:rsidR="00212F81" w:rsidRPr="00AD1F75" w:rsidRDefault="00212F81" w:rsidP="00212F81">
      <w:pPr>
        <w:pStyle w:val="FootnoteText"/>
        <w:spacing w:after="0" w:line="240" w:lineRule="auto"/>
        <w:jc w:val="left"/>
        <w:rPr>
          <w:rFonts w:cs="Arial"/>
          <w:sz w:val="16"/>
          <w:szCs w:val="16"/>
        </w:rPr>
      </w:pPr>
      <w:r w:rsidRPr="00AD1F75">
        <w:rPr>
          <w:rFonts w:cs="Arial"/>
          <w:sz w:val="16"/>
          <w:szCs w:val="16"/>
        </w:rPr>
        <w:t xml:space="preserve">Upon a Liquidity Event, the Proceeds shall be distributed as follows </w:t>
      </w:r>
    </w:p>
    <w:p w14:paraId="2257E235" w14:textId="1BB16DEC" w:rsidR="00212F81" w:rsidRPr="00AD1F75" w:rsidRDefault="00212F81" w:rsidP="00992EF3">
      <w:pPr>
        <w:pStyle w:val="FootnoteText"/>
        <w:numPr>
          <w:ilvl w:val="0"/>
          <w:numId w:val="115"/>
        </w:numPr>
        <w:spacing w:after="0" w:line="240" w:lineRule="auto"/>
        <w:jc w:val="left"/>
        <w:rPr>
          <w:rFonts w:cs="Arial"/>
          <w:sz w:val="16"/>
          <w:szCs w:val="16"/>
        </w:rPr>
      </w:pPr>
      <w:r w:rsidRPr="00AD1F75">
        <w:rPr>
          <w:rFonts w:cs="Arial"/>
          <w:sz w:val="16"/>
          <w:szCs w:val="16"/>
        </w:rPr>
        <w:t>Preferential Amount</w:t>
      </w:r>
      <w:r w:rsidR="00992EF3" w:rsidRPr="00AD1F75">
        <w:rPr>
          <w:rFonts w:cs="Arial"/>
          <w:sz w:val="16"/>
          <w:szCs w:val="16"/>
        </w:rPr>
        <w:t xml:space="preserve">:  </w:t>
      </w:r>
      <w:r w:rsidRPr="00AD1F75">
        <w:rPr>
          <w:rFonts w:cs="Arial"/>
          <w:sz w:val="16"/>
          <w:szCs w:val="16"/>
        </w:rPr>
        <w:t>First, the holders of Series A Shares shall receive an amount equal to [1.0] times their Original Issue Price, plus any accrued and unpaid dividends.</w:t>
      </w:r>
    </w:p>
    <w:p w14:paraId="208DC3D4" w14:textId="5951FAD2" w:rsidR="00212F81" w:rsidRPr="00AD1F75" w:rsidRDefault="00212F81" w:rsidP="00992EF3">
      <w:pPr>
        <w:pStyle w:val="FootnoteText"/>
        <w:numPr>
          <w:ilvl w:val="0"/>
          <w:numId w:val="115"/>
        </w:numPr>
        <w:spacing w:after="0" w:line="240" w:lineRule="auto"/>
        <w:jc w:val="left"/>
        <w:rPr>
          <w:rFonts w:cs="Arial"/>
          <w:sz w:val="16"/>
          <w:szCs w:val="16"/>
        </w:rPr>
      </w:pPr>
      <w:r w:rsidRPr="00AD1F75">
        <w:rPr>
          <w:rFonts w:cs="Arial"/>
          <w:sz w:val="16"/>
          <w:szCs w:val="16"/>
        </w:rPr>
        <w:t>Participation in Remaining Proceeds</w:t>
      </w:r>
      <w:r w:rsidR="00992EF3" w:rsidRPr="00AD1F75">
        <w:rPr>
          <w:rFonts w:cs="Arial"/>
          <w:sz w:val="16"/>
          <w:szCs w:val="16"/>
        </w:rPr>
        <w:t xml:space="preserve">: </w:t>
      </w:r>
      <w:r w:rsidRPr="00AD1F75">
        <w:rPr>
          <w:rFonts w:cs="Arial"/>
          <w:sz w:val="16"/>
          <w:szCs w:val="16"/>
        </w:rPr>
        <w:t>After the Preferential Amount has been paid in full, the holders of Series A Shares will participate with the holders of Ordinary Shares in the distribution of the remaining Proceeds on an as-converted basis.</w:t>
      </w:r>
    </w:p>
    <w:p w14:paraId="799E54CF" w14:textId="31145AE8" w:rsidR="00212F81" w:rsidRPr="00AD1F75" w:rsidRDefault="00212F81" w:rsidP="00992EF3">
      <w:pPr>
        <w:pStyle w:val="FootnoteText"/>
        <w:numPr>
          <w:ilvl w:val="0"/>
          <w:numId w:val="115"/>
        </w:numPr>
        <w:spacing w:after="0" w:line="240" w:lineRule="auto"/>
        <w:jc w:val="left"/>
        <w:rPr>
          <w:rFonts w:cs="Arial"/>
          <w:sz w:val="16"/>
          <w:szCs w:val="16"/>
        </w:rPr>
      </w:pPr>
      <w:r w:rsidRPr="00AD1F75">
        <w:rPr>
          <w:rFonts w:cs="Arial"/>
          <w:sz w:val="16"/>
          <w:szCs w:val="16"/>
        </w:rPr>
        <w:t>Cap on Total Return</w:t>
      </w:r>
      <w:r w:rsidR="00992EF3" w:rsidRPr="00AD1F75">
        <w:rPr>
          <w:rFonts w:cs="Arial"/>
          <w:sz w:val="16"/>
          <w:szCs w:val="16"/>
        </w:rPr>
        <w:t xml:space="preserve">: </w:t>
      </w:r>
      <w:r w:rsidRPr="00AD1F75">
        <w:rPr>
          <w:rFonts w:cs="Arial"/>
          <w:sz w:val="16"/>
          <w:szCs w:val="16"/>
        </w:rPr>
        <w:t xml:space="preserve">The participation right described above is subject to a cap. The aggregate amount receivable per Series A Share under both paragraphs 1 and 2 shall not exceed [e.g., 3.0] times the Original Issue Price (the </w:t>
      </w:r>
      <w:r w:rsidR="006A005A">
        <w:rPr>
          <w:rFonts w:cs="Arial"/>
          <w:sz w:val="16"/>
          <w:szCs w:val="16"/>
        </w:rPr>
        <w:t>"</w:t>
      </w:r>
      <w:r w:rsidRPr="00AD1F75">
        <w:rPr>
          <w:rFonts w:cs="Arial"/>
          <w:sz w:val="16"/>
          <w:szCs w:val="16"/>
        </w:rPr>
        <w:t>Maximum Participation Amount</w:t>
      </w:r>
      <w:r w:rsidR="006A005A">
        <w:rPr>
          <w:rFonts w:cs="Arial"/>
          <w:sz w:val="16"/>
          <w:szCs w:val="16"/>
        </w:rPr>
        <w:t>"</w:t>
      </w:r>
      <w:r w:rsidRPr="00AD1F75">
        <w:rPr>
          <w:rFonts w:cs="Arial"/>
          <w:sz w:val="16"/>
          <w:szCs w:val="16"/>
        </w:rPr>
        <w:t>).</w:t>
      </w:r>
    </w:p>
    <w:p w14:paraId="0E5A5B1E" w14:textId="00C02CFD" w:rsidR="00212F81" w:rsidRPr="00AD1F75" w:rsidRDefault="00212F81" w:rsidP="00992EF3">
      <w:pPr>
        <w:pStyle w:val="FootnoteText"/>
        <w:numPr>
          <w:ilvl w:val="0"/>
          <w:numId w:val="115"/>
        </w:numPr>
        <w:spacing w:after="0" w:line="240" w:lineRule="auto"/>
        <w:jc w:val="left"/>
        <w:rPr>
          <w:rFonts w:cs="Arial"/>
          <w:sz w:val="16"/>
          <w:szCs w:val="16"/>
        </w:rPr>
      </w:pPr>
      <w:r w:rsidRPr="00AD1F75">
        <w:rPr>
          <w:rFonts w:cs="Arial"/>
          <w:sz w:val="16"/>
          <w:szCs w:val="16"/>
        </w:rPr>
        <w:t>Overriding Right to Convert</w:t>
      </w:r>
      <w:r w:rsidR="00992EF3" w:rsidRPr="00AD1F75">
        <w:rPr>
          <w:rFonts w:cs="Arial"/>
          <w:sz w:val="16"/>
          <w:szCs w:val="16"/>
        </w:rPr>
        <w:t xml:space="preserve">: </w:t>
      </w:r>
      <w:r w:rsidRPr="00AD1F75">
        <w:rPr>
          <w:rFonts w:cs="Arial"/>
          <w:sz w:val="16"/>
          <w:szCs w:val="16"/>
        </w:rPr>
        <w:t>If the cap is reached, each holder of a Series A Share shall be entitled to receive the greater of:</w:t>
      </w:r>
      <w:r w:rsidR="00992EF3" w:rsidRPr="00AD1F75">
        <w:rPr>
          <w:rFonts w:cs="Arial"/>
          <w:sz w:val="16"/>
          <w:szCs w:val="16"/>
        </w:rPr>
        <w:t xml:space="preserve"> </w:t>
      </w:r>
      <w:r w:rsidRPr="00AD1F75">
        <w:rPr>
          <w:rFonts w:cs="Arial"/>
          <w:sz w:val="16"/>
          <w:szCs w:val="16"/>
        </w:rPr>
        <w:t>(a) the Maximum Participation Amount; or</w:t>
      </w:r>
    </w:p>
    <w:p w14:paraId="3D23A79C" w14:textId="23709343" w:rsidR="00212F81" w:rsidRPr="00AD1F75" w:rsidRDefault="00212F81" w:rsidP="00992EF3">
      <w:pPr>
        <w:pStyle w:val="FootnoteText"/>
        <w:spacing w:after="0" w:line="240" w:lineRule="auto"/>
        <w:jc w:val="left"/>
        <w:rPr>
          <w:rFonts w:cs="Arial"/>
          <w:sz w:val="16"/>
          <w:szCs w:val="16"/>
        </w:rPr>
      </w:pPr>
      <w:r w:rsidRPr="00AD1F75">
        <w:rPr>
          <w:rFonts w:cs="Arial"/>
          <w:sz w:val="16"/>
          <w:szCs w:val="16"/>
        </w:rPr>
        <w:t>(b) the amount the holder would have received had their Series A Share been converted into Ordinary Shares immediately prior to the Liquidity Event.</w:t>
      </w:r>
    </w:p>
    <w:p w14:paraId="74EA9819" w14:textId="77777777" w:rsidR="00992EF3" w:rsidRPr="00AD1F75" w:rsidRDefault="00992EF3" w:rsidP="00992EF3">
      <w:pPr>
        <w:pStyle w:val="FootnoteText"/>
        <w:spacing w:after="0" w:line="240" w:lineRule="auto"/>
        <w:jc w:val="left"/>
        <w:rPr>
          <w:rFonts w:cs="Arial"/>
          <w:sz w:val="16"/>
          <w:szCs w:val="16"/>
          <w:lang w:val="en-US"/>
        </w:rPr>
      </w:pPr>
    </w:p>
  </w:footnote>
  <w:footnote w:id="134">
    <w:p w14:paraId="47D1CAA5" w14:textId="77777777" w:rsidR="00381096" w:rsidRPr="00AD1F75" w:rsidRDefault="00381096" w:rsidP="00381096">
      <w:pPr>
        <w:pStyle w:val="FootnoteText"/>
        <w:spacing w:after="0" w:line="240" w:lineRule="auto"/>
        <w:rPr>
          <w:rFonts w:cs="Arial"/>
          <w:sz w:val="16"/>
          <w:szCs w:val="16"/>
        </w:rPr>
      </w:pPr>
      <w:r w:rsidRPr="00AD1F75">
        <w:rPr>
          <w:rStyle w:val="FootnoteReference"/>
          <w:rFonts w:cs="Arial"/>
          <w:sz w:val="16"/>
          <w:szCs w:val="16"/>
        </w:rPr>
        <w:footnoteRef/>
      </w:r>
      <w:r w:rsidRPr="00AD1F75">
        <w:rPr>
          <w:rFonts w:cs="Arial"/>
          <w:sz w:val="16"/>
          <w:szCs w:val="16"/>
        </w:rPr>
        <w:t xml:space="preserve"> When a company has more than one series of preference shares (e.g., Series A, Series B), calculating the payout for each during a liquidity event can become complicated.</w:t>
      </w:r>
    </w:p>
    <w:p w14:paraId="082663B4" w14:textId="402F6336" w:rsidR="00381096" w:rsidRPr="00AD1F75" w:rsidRDefault="00381096" w:rsidP="00381096">
      <w:pPr>
        <w:pStyle w:val="FootnoteText"/>
        <w:spacing w:after="0" w:line="240" w:lineRule="auto"/>
        <w:rPr>
          <w:rFonts w:cs="Arial"/>
          <w:sz w:val="16"/>
          <w:szCs w:val="16"/>
        </w:rPr>
      </w:pPr>
      <w:r w:rsidRPr="00AD1F75">
        <w:rPr>
          <w:rFonts w:cs="Arial"/>
          <w:sz w:val="16"/>
          <w:szCs w:val="16"/>
        </w:rPr>
        <w:t xml:space="preserve">The complexity arises from the standard </w:t>
      </w:r>
      <w:r w:rsidR="006A005A">
        <w:rPr>
          <w:rFonts w:cs="Arial"/>
          <w:sz w:val="16"/>
          <w:szCs w:val="16"/>
        </w:rPr>
        <w:t>"</w:t>
      </w:r>
      <w:r w:rsidRPr="00AD1F75">
        <w:rPr>
          <w:rFonts w:cs="Arial"/>
          <w:sz w:val="16"/>
          <w:szCs w:val="16"/>
        </w:rPr>
        <w:t>non-participating</w:t>
      </w:r>
      <w:r w:rsidR="006A005A">
        <w:rPr>
          <w:rFonts w:cs="Arial"/>
          <w:sz w:val="16"/>
          <w:szCs w:val="16"/>
        </w:rPr>
        <w:t>"</w:t>
      </w:r>
      <w:r w:rsidRPr="00AD1F75">
        <w:rPr>
          <w:rFonts w:cs="Arial"/>
          <w:sz w:val="16"/>
          <w:szCs w:val="16"/>
        </w:rPr>
        <w:t xml:space="preserve"> preference right, where each investor is entitled to receive the greater of:</w:t>
      </w:r>
    </w:p>
    <w:p w14:paraId="7457C477" w14:textId="77777777" w:rsidR="00381096" w:rsidRPr="00AD1F75" w:rsidRDefault="00381096" w:rsidP="00381096">
      <w:pPr>
        <w:pStyle w:val="FootnoteText"/>
        <w:numPr>
          <w:ilvl w:val="0"/>
          <w:numId w:val="114"/>
        </w:numPr>
        <w:spacing w:after="0" w:line="240" w:lineRule="auto"/>
        <w:rPr>
          <w:rFonts w:cs="Arial"/>
          <w:sz w:val="16"/>
          <w:szCs w:val="16"/>
        </w:rPr>
      </w:pPr>
      <w:r w:rsidRPr="00AD1F75">
        <w:rPr>
          <w:rFonts w:cs="Arial"/>
          <w:sz w:val="16"/>
          <w:szCs w:val="16"/>
        </w:rPr>
        <w:t>Their fixed liquidation preference (e.g., 1x their investment amount); or</w:t>
      </w:r>
    </w:p>
    <w:p w14:paraId="661911BF" w14:textId="3F8A8921" w:rsidR="00381096" w:rsidRPr="00AD1F75" w:rsidRDefault="00381096" w:rsidP="00381096">
      <w:pPr>
        <w:pStyle w:val="FootnoteText"/>
        <w:numPr>
          <w:ilvl w:val="0"/>
          <w:numId w:val="114"/>
        </w:numPr>
        <w:spacing w:after="0" w:line="240" w:lineRule="auto"/>
        <w:rPr>
          <w:rFonts w:cs="Arial"/>
          <w:sz w:val="16"/>
          <w:szCs w:val="16"/>
        </w:rPr>
      </w:pPr>
      <w:r w:rsidRPr="00AD1F75">
        <w:rPr>
          <w:rFonts w:cs="Arial"/>
          <w:sz w:val="16"/>
          <w:szCs w:val="16"/>
        </w:rPr>
        <w:t>The amount they would receive if they converted their shares to Ordinary Shares (</w:t>
      </w:r>
      <w:r w:rsidR="006A005A">
        <w:rPr>
          <w:rFonts w:cs="Arial"/>
          <w:sz w:val="16"/>
          <w:szCs w:val="16"/>
        </w:rPr>
        <w:t>"</w:t>
      </w:r>
      <w:r w:rsidRPr="00AD1F75">
        <w:rPr>
          <w:rFonts w:cs="Arial"/>
          <w:sz w:val="16"/>
          <w:szCs w:val="16"/>
        </w:rPr>
        <w:t>as-converted value</w:t>
      </w:r>
      <w:r w:rsidR="006A005A">
        <w:rPr>
          <w:rFonts w:cs="Arial"/>
          <w:sz w:val="16"/>
          <w:szCs w:val="16"/>
        </w:rPr>
        <w:t>"</w:t>
      </w:r>
      <w:r w:rsidRPr="00AD1F75">
        <w:rPr>
          <w:rFonts w:cs="Arial"/>
          <w:sz w:val="16"/>
          <w:szCs w:val="16"/>
        </w:rPr>
        <w:t>).</w:t>
      </w:r>
    </w:p>
    <w:p w14:paraId="6ACACACA" w14:textId="77777777" w:rsidR="00381096" w:rsidRPr="00AD1F75" w:rsidRDefault="00381096" w:rsidP="00381096">
      <w:pPr>
        <w:pStyle w:val="FootnoteText"/>
        <w:numPr>
          <w:ilvl w:val="0"/>
          <w:numId w:val="114"/>
        </w:numPr>
        <w:spacing w:after="0" w:line="240" w:lineRule="auto"/>
        <w:rPr>
          <w:rFonts w:cs="Arial"/>
          <w:sz w:val="16"/>
          <w:szCs w:val="16"/>
        </w:rPr>
      </w:pPr>
      <w:r w:rsidRPr="00AD1F75">
        <w:rPr>
          <w:rFonts w:cs="Arial"/>
          <w:sz w:val="16"/>
          <w:szCs w:val="16"/>
        </w:rPr>
        <w:t>This creates a circular logic problem:</w:t>
      </w:r>
    </w:p>
    <w:p w14:paraId="2929BD35" w14:textId="77777777" w:rsidR="00381096" w:rsidRPr="00AD1F75" w:rsidRDefault="00381096" w:rsidP="00381096">
      <w:pPr>
        <w:pStyle w:val="FootnoteText"/>
        <w:spacing w:after="0" w:line="240" w:lineRule="auto"/>
        <w:rPr>
          <w:rFonts w:cs="Arial"/>
          <w:sz w:val="16"/>
          <w:szCs w:val="16"/>
        </w:rPr>
      </w:pPr>
      <w:r w:rsidRPr="00AD1F75">
        <w:rPr>
          <w:rFonts w:cs="Arial"/>
          <w:sz w:val="16"/>
          <w:szCs w:val="16"/>
        </w:rPr>
        <w:t>To determine the ‘as-converted’ value for the Series A shares, you first need to know the total proceeds available for all Ordinary Shares. However, that amount depends entirely on whether the Series B investors are taking their fixed preference or also converting to Ordinary Shares. You can’t calculate the outcome for one series without knowing the outcome for the others.</w:t>
      </w:r>
    </w:p>
    <w:p w14:paraId="414C6D6D" w14:textId="77777777" w:rsidR="00381096" w:rsidRPr="00AD1F75" w:rsidRDefault="00381096" w:rsidP="00381096">
      <w:pPr>
        <w:pStyle w:val="FootnoteText"/>
        <w:spacing w:after="0" w:line="240" w:lineRule="auto"/>
        <w:rPr>
          <w:rFonts w:cs="Arial"/>
          <w:sz w:val="16"/>
          <w:szCs w:val="16"/>
        </w:rPr>
      </w:pPr>
    </w:p>
    <w:p w14:paraId="2C0EC567" w14:textId="77777777" w:rsidR="00381096" w:rsidRPr="00AD1F75" w:rsidRDefault="00381096" w:rsidP="00381096">
      <w:pPr>
        <w:pStyle w:val="FootnoteText"/>
        <w:spacing w:after="0" w:line="240" w:lineRule="auto"/>
        <w:rPr>
          <w:rFonts w:cs="Arial"/>
          <w:sz w:val="16"/>
          <w:szCs w:val="16"/>
        </w:rPr>
      </w:pPr>
      <w:r w:rsidRPr="00AD1F75">
        <w:rPr>
          <w:rFonts w:cs="Arial"/>
          <w:sz w:val="16"/>
          <w:szCs w:val="16"/>
        </w:rPr>
        <w:t>The most effective way to resolve this in the MOI is to establish a clear rule. The clause should state that the calculation must be performed on the assumption that all series of preference shares that would receive a higher payout by converting to Ordinary Shares are treated as having done so simultaneously.</w:t>
      </w:r>
    </w:p>
    <w:p w14:paraId="4DB7D7A2" w14:textId="77777777" w:rsidR="00381096" w:rsidRPr="00AD1F75" w:rsidRDefault="00381096" w:rsidP="00381096">
      <w:pPr>
        <w:pStyle w:val="FootnoteText"/>
        <w:spacing w:after="0" w:line="240" w:lineRule="auto"/>
        <w:rPr>
          <w:rFonts w:cs="Arial"/>
          <w:sz w:val="16"/>
          <w:szCs w:val="16"/>
        </w:rPr>
      </w:pPr>
    </w:p>
    <w:p w14:paraId="0EE51EBD" w14:textId="0EC749BC" w:rsidR="00381096" w:rsidRPr="00AD1F75" w:rsidRDefault="00381096" w:rsidP="00381096">
      <w:pPr>
        <w:pStyle w:val="FootnoteText"/>
        <w:spacing w:line="240" w:lineRule="auto"/>
        <w:rPr>
          <w:rFonts w:cs="Arial"/>
          <w:sz w:val="16"/>
          <w:szCs w:val="16"/>
          <w:lang w:val="en-ZA"/>
        </w:rPr>
      </w:pPr>
      <w:r w:rsidRPr="00AD1F75">
        <w:rPr>
          <w:rFonts w:cs="Arial"/>
          <w:sz w:val="16"/>
          <w:szCs w:val="16"/>
        </w:rPr>
        <w:t>This approach breaks the circular dependency by creating a single, definitive scenario for the entire distribution waterfall, ensuring the calculation is logical and solvable</w:t>
      </w:r>
      <w:r w:rsidRPr="00AD1F75">
        <w:rPr>
          <w:rFonts w:cs="Arial"/>
          <w:color w:val="1A1820"/>
          <w:sz w:val="16"/>
          <w:szCs w:val="16"/>
          <w:lang w:eastAsia="en-ZA"/>
        </w:rPr>
        <w:t xml:space="preserve"> </w:t>
      </w:r>
      <w:r w:rsidRPr="00AD1F75">
        <w:rPr>
          <w:rFonts w:cs="Arial"/>
          <w:sz w:val="16"/>
          <w:szCs w:val="16"/>
          <w:lang w:val="en-ZA"/>
        </w:rPr>
        <w:t xml:space="preserve">You will sometimes see agreements that omit the </w:t>
      </w:r>
      <w:r w:rsidR="006A005A">
        <w:rPr>
          <w:rFonts w:cs="Arial"/>
          <w:sz w:val="16"/>
          <w:szCs w:val="16"/>
          <w:lang w:val="en-ZA"/>
        </w:rPr>
        <w:t>"</w:t>
      </w:r>
      <w:r w:rsidRPr="00AD1F75">
        <w:rPr>
          <w:rFonts w:cs="Arial"/>
          <w:sz w:val="16"/>
          <w:szCs w:val="16"/>
          <w:lang w:val="en-ZA"/>
        </w:rPr>
        <w:t>greater of</w:t>
      </w:r>
      <w:r w:rsidR="006A005A">
        <w:rPr>
          <w:rFonts w:cs="Arial"/>
          <w:sz w:val="16"/>
          <w:szCs w:val="16"/>
          <w:lang w:val="en-ZA"/>
        </w:rPr>
        <w:t>"</w:t>
      </w:r>
      <w:r w:rsidRPr="00AD1F75">
        <w:rPr>
          <w:rFonts w:cs="Arial"/>
          <w:sz w:val="16"/>
          <w:szCs w:val="16"/>
          <w:lang w:val="en-ZA"/>
        </w:rPr>
        <w:t xml:space="preserve"> calculation we discussed. Instead, the clause simply states that preference shareholders are entitled to a fixed liquidation preference (e.g., 1x their Original Issue Price).</w:t>
      </w:r>
    </w:p>
    <w:p w14:paraId="06D8EE16" w14:textId="23CF0E79" w:rsidR="00381096" w:rsidRPr="00AD1F75" w:rsidRDefault="00381096" w:rsidP="00381096">
      <w:pPr>
        <w:pStyle w:val="FootnoteText"/>
        <w:spacing w:line="240" w:lineRule="auto"/>
        <w:rPr>
          <w:rFonts w:cs="Arial"/>
          <w:sz w:val="16"/>
          <w:szCs w:val="16"/>
        </w:rPr>
      </w:pPr>
      <w:r w:rsidRPr="00AD1F75">
        <w:rPr>
          <w:rFonts w:cs="Arial"/>
          <w:sz w:val="16"/>
          <w:szCs w:val="16"/>
        </w:rPr>
        <w:t xml:space="preserve">The theory behind this approach is that if the </w:t>
      </w:r>
      <w:r w:rsidR="006A005A">
        <w:rPr>
          <w:rFonts w:cs="Arial"/>
          <w:sz w:val="16"/>
          <w:szCs w:val="16"/>
        </w:rPr>
        <w:t>"</w:t>
      </w:r>
      <w:r w:rsidRPr="00AD1F75">
        <w:rPr>
          <w:rFonts w:cs="Arial"/>
          <w:sz w:val="16"/>
          <w:szCs w:val="16"/>
        </w:rPr>
        <w:t>as-converted</w:t>
      </w:r>
      <w:r w:rsidR="006A005A">
        <w:rPr>
          <w:rFonts w:cs="Arial"/>
          <w:sz w:val="16"/>
          <w:szCs w:val="16"/>
        </w:rPr>
        <w:t>"</w:t>
      </w:r>
      <w:r w:rsidRPr="00AD1F75">
        <w:rPr>
          <w:rFonts w:cs="Arial"/>
          <w:sz w:val="16"/>
          <w:szCs w:val="16"/>
        </w:rPr>
        <w:t xml:space="preserve"> value is higher, investors will simply exercise their right to convert to Ordinary Shares to achieve the better outcome. While this simplifies the drafting of the liquidation preference clause itself, it does not eliminate the underlying complexity.</w:t>
      </w:r>
    </w:p>
    <w:p w14:paraId="4B328906" w14:textId="6F171C45" w:rsidR="00381096" w:rsidRPr="00AD1F75" w:rsidRDefault="00381096" w:rsidP="00381096">
      <w:pPr>
        <w:pStyle w:val="FootnoteText"/>
        <w:spacing w:line="240" w:lineRule="auto"/>
        <w:rPr>
          <w:rFonts w:cs="Arial"/>
          <w:sz w:val="16"/>
          <w:szCs w:val="16"/>
        </w:rPr>
      </w:pPr>
      <w:r w:rsidRPr="00AD1F75">
        <w:rPr>
          <w:rFonts w:cs="Arial"/>
          <w:sz w:val="16"/>
          <w:szCs w:val="16"/>
        </w:rPr>
        <w:t xml:space="preserve">Instead, it shifts the burden of calculation—and the associated risk—from the governing document onto the individual investors at the most critical time: the exit. Each preference shareholder is left to guess what every other preference shareholder will do, creating an impossible </w:t>
      </w:r>
      <w:r w:rsidR="006A005A">
        <w:rPr>
          <w:rFonts w:cs="Arial"/>
          <w:sz w:val="16"/>
          <w:szCs w:val="16"/>
        </w:rPr>
        <w:t>"</w:t>
      </w:r>
      <w:r w:rsidRPr="00AD1F75">
        <w:rPr>
          <w:rFonts w:cs="Arial"/>
          <w:sz w:val="16"/>
          <w:szCs w:val="16"/>
        </w:rPr>
        <w:t>investor’s dilemma.</w:t>
      </w:r>
      <w:r w:rsidR="006A005A">
        <w:rPr>
          <w:rFonts w:cs="Arial"/>
          <w:sz w:val="16"/>
          <w:szCs w:val="16"/>
        </w:rPr>
        <w:t>"</w:t>
      </w:r>
      <w:r w:rsidRPr="00AD1F75">
        <w:rPr>
          <w:rFonts w:cs="Arial"/>
          <w:sz w:val="16"/>
          <w:szCs w:val="16"/>
        </w:rPr>
        <w:t xml:space="preserve"> They cannot determine their own best outcome without knowing the decisions of others.</w:t>
      </w:r>
    </w:p>
    <w:p w14:paraId="6CBF8C82" w14:textId="2340B914" w:rsidR="00381096" w:rsidRPr="00AD1F75" w:rsidRDefault="00381096" w:rsidP="00381096">
      <w:pPr>
        <w:pStyle w:val="FootnoteText"/>
        <w:spacing w:line="240" w:lineRule="auto"/>
        <w:rPr>
          <w:rFonts w:cs="Arial"/>
          <w:sz w:val="16"/>
          <w:szCs w:val="16"/>
        </w:rPr>
      </w:pPr>
      <w:r w:rsidRPr="00AD1F75">
        <w:rPr>
          <w:rFonts w:cs="Arial"/>
          <w:sz w:val="16"/>
          <w:szCs w:val="16"/>
        </w:rPr>
        <w:t>This is precisely why embedding the </w:t>
      </w:r>
      <w:r w:rsidR="006A005A">
        <w:rPr>
          <w:rFonts w:cs="Arial"/>
          <w:sz w:val="16"/>
          <w:szCs w:val="16"/>
        </w:rPr>
        <w:t>"</w:t>
      </w:r>
      <w:r w:rsidRPr="00AD1F75">
        <w:rPr>
          <w:rFonts w:cs="Arial"/>
          <w:sz w:val="16"/>
          <w:szCs w:val="16"/>
        </w:rPr>
        <w:t>greater of</w:t>
      </w:r>
      <w:r w:rsidR="006A005A">
        <w:rPr>
          <w:rFonts w:cs="Arial"/>
          <w:sz w:val="16"/>
          <w:szCs w:val="16"/>
        </w:rPr>
        <w:t>"</w:t>
      </w:r>
      <w:r w:rsidRPr="00AD1F75">
        <w:rPr>
          <w:rFonts w:cs="Arial"/>
          <w:sz w:val="16"/>
          <w:szCs w:val="16"/>
        </w:rPr>
        <w:t xml:space="preserve"> calculation directly into the MOI is the superior method. It creates a clear, predictable, and automatic mechanism, providing certainty for all parties and removing the guesswork during a high-stakes transaction.</w:t>
      </w:r>
    </w:p>
    <w:p w14:paraId="0B7E558F" w14:textId="6EFB5456" w:rsidR="00381096" w:rsidRPr="00AD1F75" w:rsidRDefault="00381096" w:rsidP="00992EF3">
      <w:pPr>
        <w:pStyle w:val="FootnoteText"/>
        <w:spacing w:line="240" w:lineRule="auto"/>
        <w:rPr>
          <w:rFonts w:cs="Arial"/>
          <w:sz w:val="16"/>
          <w:szCs w:val="16"/>
        </w:rPr>
      </w:pPr>
      <w:r w:rsidRPr="00AD1F75">
        <w:rPr>
          <w:rFonts w:cs="Arial"/>
          <w:sz w:val="16"/>
          <w:szCs w:val="16"/>
        </w:rPr>
        <w:t>It is also worth noting that this entire issue is only relevant for </w:t>
      </w:r>
      <w:r w:rsidRPr="00AD1F75">
        <w:rPr>
          <w:rFonts w:cs="Arial"/>
          <w:b/>
          <w:bCs/>
          <w:sz w:val="16"/>
          <w:szCs w:val="16"/>
        </w:rPr>
        <w:t>non-participating</w:t>
      </w:r>
      <w:r w:rsidRPr="00AD1F75">
        <w:rPr>
          <w:rFonts w:cs="Arial"/>
          <w:sz w:val="16"/>
          <w:szCs w:val="16"/>
        </w:rPr>
        <w:t> (or capped participating) preference shares. For </w:t>
      </w:r>
      <w:r w:rsidRPr="00AD1F75">
        <w:rPr>
          <w:rFonts w:cs="Arial"/>
          <w:b/>
          <w:bCs/>
          <w:sz w:val="16"/>
          <w:szCs w:val="16"/>
        </w:rPr>
        <w:t>fully participating preference</w:t>
      </w:r>
      <w:r w:rsidRPr="00AD1F75">
        <w:rPr>
          <w:rFonts w:cs="Arial"/>
          <w:sz w:val="16"/>
          <w:szCs w:val="16"/>
        </w:rPr>
        <w:t xml:space="preserve"> shares—where investors receive their money back and then share in the remaining proceeds—there is no </w:t>
      </w:r>
      <w:r w:rsidR="006A005A">
        <w:rPr>
          <w:rFonts w:cs="Arial"/>
          <w:sz w:val="16"/>
          <w:szCs w:val="16"/>
        </w:rPr>
        <w:t>"</w:t>
      </w:r>
      <w:r w:rsidRPr="00AD1F75">
        <w:rPr>
          <w:rFonts w:cs="Arial"/>
          <w:sz w:val="16"/>
          <w:szCs w:val="16"/>
        </w:rPr>
        <w:t>either/or</w:t>
      </w:r>
      <w:r w:rsidR="006A005A">
        <w:rPr>
          <w:rFonts w:cs="Arial"/>
          <w:sz w:val="16"/>
          <w:szCs w:val="16"/>
        </w:rPr>
        <w:t>"</w:t>
      </w:r>
      <w:r w:rsidRPr="00AD1F75">
        <w:rPr>
          <w:rFonts w:cs="Arial"/>
          <w:sz w:val="16"/>
          <w:szCs w:val="16"/>
        </w:rPr>
        <w:t xml:space="preserve"> choice to be made, so the problem does not arise.</w:t>
      </w:r>
    </w:p>
    <w:p w14:paraId="7AFB6C63" w14:textId="08A50C05" w:rsidR="00381096" w:rsidRPr="00AD1F75" w:rsidRDefault="00381096" w:rsidP="00381096">
      <w:pPr>
        <w:pStyle w:val="FootnoteText"/>
        <w:spacing w:after="0" w:line="240" w:lineRule="auto"/>
        <w:rPr>
          <w:rFonts w:cs="Arial"/>
          <w:sz w:val="16"/>
          <w:szCs w:val="16"/>
          <w:lang w:val="en-US"/>
        </w:rPr>
      </w:pPr>
      <w:r w:rsidRPr="00AD1F75">
        <w:rPr>
          <w:rFonts w:cs="Arial"/>
          <w:sz w:val="16"/>
          <w:szCs w:val="16"/>
        </w:rPr>
        <w:t>.</w:t>
      </w:r>
    </w:p>
  </w:footnote>
  <w:footnote w:id="135">
    <w:p w14:paraId="7B2A1F7B" w14:textId="2D11FD1D" w:rsidR="00AE1362" w:rsidRPr="00AD1F75" w:rsidRDefault="00AE1362" w:rsidP="00AE1362">
      <w:pPr>
        <w:pStyle w:val="FootnoteText"/>
        <w:spacing w:after="0" w:line="240" w:lineRule="auto"/>
        <w:rPr>
          <w:rFonts w:cs="Arial"/>
          <w:sz w:val="16"/>
          <w:szCs w:val="16"/>
          <w:lang w:val="en-US"/>
        </w:rPr>
      </w:pPr>
      <w:r w:rsidRPr="00AD1F75">
        <w:rPr>
          <w:rStyle w:val="FootnoteReference"/>
          <w:rFonts w:cs="Arial"/>
          <w:sz w:val="16"/>
          <w:szCs w:val="16"/>
        </w:rPr>
        <w:footnoteRef/>
      </w:r>
      <w:r w:rsidRPr="00AD1F75">
        <w:rPr>
          <w:rFonts w:cs="Arial"/>
          <w:sz w:val="16"/>
          <w:szCs w:val="16"/>
        </w:rPr>
        <w:t xml:space="preserve"> </w:t>
      </w:r>
      <w:r w:rsidRPr="00AD1F75">
        <w:rPr>
          <w:rFonts w:cs="Arial"/>
          <w:sz w:val="16"/>
          <w:szCs w:val="16"/>
          <w:lang w:val="en-US"/>
        </w:rPr>
        <w:t xml:space="preserve">This simple treatment of a contingent payment results in all the Liquidation Preference being paid from the initial payment.  The result is that the Ordinary Shareholders may have to wait for the payment of the contingent amounts to receive some or all of their return. So, the Ordinary Shareholders bear the burden of escrow/holdback/earn out. The argument in favor of this, is that this is the probably the intention of a Liquidation Preference, and consistent with </w:t>
      </w:r>
      <w:r w:rsidR="006A005A">
        <w:rPr>
          <w:rFonts w:cs="Arial"/>
          <w:sz w:val="16"/>
          <w:szCs w:val="16"/>
          <w:lang w:val="en-US"/>
        </w:rPr>
        <w:t>"</w:t>
      </w:r>
      <w:r w:rsidRPr="00AD1F75">
        <w:rPr>
          <w:rFonts w:cs="Arial"/>
          <w:sz w:val="16"/>
          <w:szCs w:val="16"/>
          <w:lang w:val="en-US"/>
        </w:rPr>
        <w:t>the bargain implicit in a preferred security</w:t>
      </w:r>
      <w:r w:rsidR="006A005A">
        <w:rPr>
          <w:rFonts w:cs="Arial"/>
          <w:sz w:val="16"/>
          <w:szCs w:val="16"/>
          <w:lang w:val="en-US"/>
        </w:rPr>
        <w:t>"</w:t>
      </w:r>
      <w:r w:rsidRPr="00AD1F75">
        <w:rPr>
          <w:rFonts w:cs="Arial"/>
          <w:sz w:val="16"/>
          <w:szCs w:val="16"/>
          <w:lang w:val="en-US"/>
        </w:rPr>
        <w:t xml:space="preserve">. </w:t>
      </w:r>
    </w:p>
    <w:p w14:paraId="02D8B0DB" w14:textId="77777777" w:rsidR="00AE1362" w:rsidRPr="00AD1F75" w:rsidRDefault="00AE1362" w:rsidP="00AE1362">
      <w:pPr>
        <w:pStyle w:val="FootnoteText"/>
        <w:spacing w:after="0" w:line="240" w:lineRule="auto"/>
        <w:rPr>
          <w:rFonts w:cs="Arial"/>
          <w:sz w:val="16"/>
          <w:szCs w:val="16"/>
          <w:lang w:val="en-US"/>
        </w:rPr>
      </w:pPr>
    </w:p>
    <w:p w14:paraId="2EC79EC6" w14:textId="04C4F5A7" w:rsidR="00AE1362" w:rsidRPr="00AD1F75" w:rsidRDefault="00AE1362" w:rsidP="00AE1362">
      <w:pPr>
        <w:pStyle w:val="FootnoteText"/>
        <w:spacing w:after="0" w:line="240" w:lineRule="auto"/>
        <w:rPr>
          <w:rFonts w:cs="Arial"/>
          <w:sz w:val="16"/>
          <w:szCs w:val="16"/>
          <w:lang w:val="en-US"/>
        </w:rPr>
      </w:pPr>
      <w:r w:rsidRPr="00AD1F75">
        <w:rPr>
          <w:rFonts w:cs="Arial"/>
          <w:sz w:val="16"/>
          <w:szCs w:val="16"/>
          <w:lang w:val="en-US"/>
        </w:rPr>
        <w:t xml:space="preserve">The alternative is to allocate the contingent portion pro-rata to both Preference and Ordinary Shareholders. However, if the acquirer of the company legitimately withholds any part of the contingent payment, then the Preference Shareholders will bear that </w:t>
      </w:r>
      <w:r w:rsidR="006A005A">
        <w:rPr>
          <w:rFonts w:cs="Arial"/>
          <w:sz w:val="16"/>
          <w:szCs w:val="16"/>
          <w:lang w:val="en-US"/>
        </w:rPr>
        <w:t>"</w:t>
      </w:r>
      <w:r w:rsidRPr="00AD1F75">
        <w:rPr>
          <w:rFonts w:cs="Arial"/>
          <w:sz w:val="16"/>
          <w:szCs w:val="16"/>
          <w:lang w:val="en-US"/>
        </w:rPr>
        <w:t>loss</w:t>
      </w:r>
      <w:r w:rsidR="006A005A">
        <w:rPr>
          <w:rFonts w:cs="Arial"/>
          <w:sz w:val="16"/>
          <w:szCs w:val="16"/>
          <w:lang w:val="en-US"/>
        </w:rPr>
        <w:t>"</w:t>
      </w:r>
      <w:r w:rsidRPr="00AD1F75">
        <w:rPr>
          <w:rFonts w:cs="Arial"/>
          <w:sz w:val="16"/>
          <w:szCs w:val="16"/>
          <w:lang w:val="en-US"/>
        </w:rPr>
        <w:t xml:space="preserve"> proportionately with the Ordinary Shareholders. This could result in Preference Shareholders receiving less (and Ordinary Shareholders receiving more) than they should have under the Liquidation Preference. </w:t>
      </w:r>
    </w:p>
    <w:p w14:paraId="450F3DFF" w14:textId="77777777" w:rsidR="00AE1362" w:rsidRPr="00AD1F75" w:rsidRDefault="00AE1362" w:rsidP="00AE1362">
      <w:pPr>
        <w:pStyle w:val="FootnoteText"/>
        <w:spacing w:after="0" w:line="240" w:lineRule="auto"/>
        <w:rPr>
          <w:rFonts w:cs="Arial"/>
          <w:sz w:val="16"/>
          <w:szCs w:val="16"/>
          <w:lang w:val="en-US"/>
        </w:rPr>
      </w:pPr>
    </w:p>
    <w:p w14:paraId="2DB77CEA" w14:textId="3B22E746" w:rsidR="00AE1362" w:rsidRPr="00AD1F75" w:rsidRDefault="00AE1362" w:rsidP="00AE1362">
      <w:pPr>
        <w:pStyle w:val="FootnoteText"/>
        <w:spacing w:after="0" w:line="240" w:lineRule="auto"/>
        <w:rPr>
          <w:rFonts w:cs="Arial"/>
          <w:sz w:val="16"/>
          <w:szCs w:val="16"/>
          <w:lang w:val="en-US"/>
        </w:rPr>
      </w:pPr>
      <w:r w:rsidRPr="00AD1F75">
        <w:rPr>
          <w:rFonts w:cs="Arial"/>
          <w:sz w:val="16"/>
          <w:szCs w:val="16"/>
          <w:lang w:val="en-US"/>
        </w:rPr>
        <w:t xml:space="preserve">Simple example:  </w:t>
      </w:r>
    </w:p>
    <w:p w14:paraId="74899B8F" w14:textId="49324DAC" w:rsidR="00AE1362" w:rsidRPr="00AD1F75" w:rsidRDefault="00AE1362" w:rsidP="00AE1362">
      <w:pPr>
        <w:pStyle w:val="FootnoteText"/>
        <w:numPr>
          <w:ilvl w:val="0"/>
          <w:numId w:val="116"/>
        </w:numPr>
        <w:spacing w:after="0" w:line="240" w:lineRule="auto"/>
        <w:rPr>
          <w:rFonts w:cs="Arial"/>
          <w:sz w:val="16"/>
          <w:szCs w:val="16"/>
          <w:lang w:val="en-US"/>
        </w:rPr>
      </w:pPr>
      <w:r w:rsidRPr="00AD1F75">
        <w:rPr>
          <w:rFonts w:cs="Arial"/>
          <w:sz w:val="16"/>
          <w:szCs w:val="16"/>
          <w:lang w:val="en-US"/>
        </w:rPr>
        <w:t xml:space="preserve">Company XYZ has 100 Prefs, 100 Ords in issuance. </w:t>
      </w:r>
    </w:p>
    <w:p w14:paraId="4C1AF8AD" w14:textId="742EFC75" w:rsidR="00AE1362" w:rsidRPr="00AD1F75" w:rsidRDefault="00AE1362" w:rsidP="00AE1362">
      <w:pPr>
        <w:pStyle w:val="FootnoteText"/>
        <w:numPr>
          <w:ilvl w:val="0"/>
          <w:numId w:val="116"/>
        </w:numPr>
        <w:spacing w:after="0" w:line="240" w:lineRule="auto"/>
        <w:rPr>
          <w:rFonts w:cs="Arial"/>
          <w:sz w:val="16"/>
          <w:szCs w:val="16"/>
          <w:lang w:val="en-US"/>
        </w:rPr>
      </w:pPr>
      <w:r w:rsidRPr="00AD1F75">
        <w:rPr>
          <w:rFonts w:cs="Arial"/>
          <w:sz w:val="16"/>
          <w:szCs w:val="16"/>
          <w:lang w:val="en-US"/>
        </w:rPr>
        <w:t xml:space="preserve">The Company Purchase price is 150. </w:t>
      </w:r>
    </w:p>
    <w:p w14:paraId="6EFC540B" w14:textId="064BFC14" w:rsidR="00AE1362" w:rsidRPr="00AD1F75" w:rsidRDefault="00AE1362" w:rsidP="00AE1362">
      <w:pPr>
        <w:pStyle w:val="FootnoteText"/>
        <w:numPr>
          <w:ilvl w:val="0"/>
          <w:numId w:val="116"/>
        </w:numPr>
        <w:spacing w:after="0" w:line="240" w:lineRule="auto"/>
        <w:rPr>
          <w:rFonts w:cs="Arial"/>
          <w:sz w:val="16"/>
          <w:szCs w:val="16"/>
          <w:lang w:val="en-US"/>
        </w:rPr>
      </w:pPr>
      <w:r w:rsidRPr="00AD1F75">
        <w:rPr>
          <w:rFonts w:cs="Arial"/>
          <w:sz w:val="16"/>
          <w:szCs w:val="16"/>
          <w:lang w:val="en-US"/>
        </w:rPr>
        <w:t xml:space="preserve">Liquidation Preference is 100, non-participating. </w:t>
      </w:r>
    </w:p>
    <w:p w14:paraId="32FF3CCD" w14:textId="160FD930" w:rsidR="00AE1362" w:rsidRPr="00AD1F75" w:rsidRDefault="00AE1362" w:rsidP="00AE1362">
      <w:pPr>
        <w:pStyle w:val="FootnoteText"/>
        <w:numPr>
          <w:ilvl w:val="0"/>
          <w:numId w:val="116"/>
        </w:numPr>
        <w:spacing w:after="0" w:line="240" w:lineRule="auto"/>
        <w:rPr>
          <w:rFonts w:cs="Arial"/>
          <w:sz w:val="16"/>
          <w:szCs w:val="16"/>
          <w:lang w:val="en-US"/>
        </w:rPr>
      </w:pPr>
      <w:r w:rsidRPr="00AD1F75">
        <w:rPr>
          <w:rFonts w:cs="Arial"/>
          <w:sz w:val="16"/>
          <w:szCs w:val="16"/>
          <w:lang w:val="en-US"/>
        </w:rPr>
        <w:t>Holdback is 15. All of that is ultimately legitimately withheld by the acquirer due to warranty breaches and indemnities</w:t>
      </w:r>
    </w:p>
    <w:p w14:paraId="47EA9FAF" w14:textId="2AE76ACC" w:rsidR="00AE1362" w:rsidRPr="00AD1F75" w:rsidRDefault="00AE1362" w:rsidP="00AE1362">
      <w:pPr>
        <w:pStyle w:val="FootnoteText"/>
        <w:numPr>
          <w:ilvl w:val="0"/>
          <w:numId w:val="116"/>
        </w:numPr>
        <w:spacing w:after="0" w:line="240" w:lineRule="auto"/>
        <w:rPr>
          <w:rFonts w:cs="Arial"/>
          <w:sz w:val="16"/>
          <w:szCs w:val="16"/>
          <w:lang w:val="en-US"/>
        </w:rPr>
      </w:pPr>
      <w:r w:rsidRPr="00AD1F75">
        <w:rPr>
          <w:rFonts w:cs="Arial"/>
          <w:sz w:val="16"/>
          <w:szCs w:val="16"/>
          <w:lang w:val="en-US"/>
        </w:rPr>
        <w:t xml:space="preserve">If the Contingency is allocated proportionately, then the Preference Shareholders would have received 90 (10 remaining in escrow), and the Ordinary Shareholders would have received 35 (5 remaining in escrow).  </w:t>
      </w:r>
    </w:p>
    <w:p w14:paraId="65F1FE1E" w14:textId="4A98DC4D" w:rsidR="00AE1362" w:rsidRPr="00AD1F75" w:rsidRDefault="00AE1362" w:rsidP="00AE1362">
      <w:pPr>
        <w:pStyle w:val="FootnoteText"/>
        <w:numPr>
          <w:ilvl w:val="0"/>
          <w:numId w:val="116"/>
        </w:numPr>
        <w:spacing w:after="0" w:line="240" w:lineRule="auto"/>
        <w:rPr>
          <w:rFonts w:cs="Arial"/>
          <w:sz w:val="16"/>
          <w:szCs w:val="16"/>
          <w:lang w:val="en-US"/>
        </w:rPr>
      </w:pPr>
      <w:r w:rsidRPr="00AD1F75">
        <w:rPr>
          <w:rFonts w:cs="Arial"/>
          <w:sz w:val="16"/>
          <w:szCs w:val="16"/>
          <w:lang w:val="en-US"/>
        </w:rPr>
        <w:t xml:space="preserve">If the non-contingent amount was treated as the whole purchase price. Preference Shareholders would have received 100, and Ordinary Shareholders would have received 35 (i.e. absorbing the full escrow </w:t>
      </w:r>
      <w:r w:rsidR="006A005A">
        <w:rPr>
          <w:rFonts w:cs="Arial"/>
          <w:sz w:val="16"/>
          <w:szCs w:val="16"/>
          <w:lang w:val="en-US"/>
        </w:rPr>
        <w:t>"</w:t>
      </w:r>
      <w:r w:rsidRPr="00AD1F75">
        <w:rPr>
          <w:rFonts w:cs="Arial"/>
          <w:sz w:val="16"/>
          <w:szCs w:val="16"/>
          <w:lang w:val="en-US"/>
        </w:rPr>
        <w:t>loss</w:t>
      </w:r>
      <w:r w:rsidR="006A005A">
        <w:rPr>
          <w:rFonts w:cs="Arial"/>
          <w:sz w:val="16"/>
          <w:szCs w:val="16"/>
          <w:lang w:val="en-US"/>
        </w:rPr>
        <w:t>"</w:t>
      </w:r>
      <w:r w:rsidRPr="00AD1F75">
        <w:rPr>
          <w:rFonts w:cs="Arial"/>
          <w:sz w:val="16"/>
          <w:szCs w:val="16"/>
          <w:lang w:val="en-US"/>
        </w:rPr>
        <w:t xml:space="preserve">). </w:t>
      </w:r>
    </w:p>
    <w:p w14:paraId="1632F602" w14:textId="77777777" w:rsidR="00AE1362" w:rsidRPr="00AD1F75" w:rsidRDefault="00AE1362">
      <w:pPr>
        <w:pStyle w:val="FootnoteText"/>
        <w:rPr>
          <w:rFonts w:cs="Arial"/>
          <w:sz w:val="16"/>
          <w:szCs w:val="16"/>
          <w:lang w:val="en-US"/>
        </w:rPr>
      </w:pPr>
    </w:p>
  </w:footnote>
  <w:footnote w:id="136">
    <w:p w14:paraId="730A9F22" w14:textId="1BB0702D" w:rsidR="00A44F35" w:rsidRPr="00AD1F75" w:rsidRDefault="00A44F35" w:rsidP="00AD1F75">
      <w:pPr>
        <w:pStyle w:val="DAFN"/>
      </w:pPr>
      <w:r w:rsidRPr="00AD1F75">
        <w:rPr>
          <w:rStyle w:val="FootnoteReference"/>
        </w:rPr>
        <w:footnoteRef/>
      </w:r>
      <w:r w:rsidRPr="00AD1F75">
        <w:t xml:space="preserve"> Pay or Play provisions could be added here, effectively requiring an Investor’s Preference Shares to convert to Ordinary Shares if they do not participate in future rounds. Very unusual in SA and really assumes that the Investor Fund has undertaken to set aside and allocate funds to future rounds in the Company. </w:t>
      </w:r>
    </w:p>
  </w:footnote>
  <w:footnote w:id="137">
    <w:p w14:paraId="31EB9F06" w14:textId="77054EED" w:rsidR="00AA6B09" w:rsidRPr="00AD1F75" w:rsidRDefault="00AA6B09" w:rsidP="00AD1F75">
      <w:pPr>
        <w:pStyle w:val="FootnoteText"/>
        <w:spacing w:after="0" w:line="240" w:lineRule="auto"/>
        <w:rPr>
          <w:rFonts w:cs="Arial"/>
          <w:sz w:val="16"/>
          <w:szCs w:val="16"/>
          <w:lang w:val="en-US"/>
        </w:rPr>
      </w:pPr>
      <w:r w:rsidRPr="00AD1F75">
        <w:rPr>
          <w:rStyle w:val="FootnoteReference"/>
          <w:rFonts w:cs="Arial"/>
          <w:sz w:val="16"/>
          <w:szCs w:val="16"/>
        </w:rPr>
        <w:footnoteRef/>
      </w:r>
      <w:r w:rsidRPr="00AD1F75">
        <w:rPr>
          <w:rFonts w:cs="Arial"/>
          <w:sz w:val="16"/>
          <w:szCs w:val="16"/>
        </w:rPr>
        <w:t xml:space="preserve"> T</w:t>
      </w:r>
      <w:r w:rsidRPr="00AD1F75">
        <w:rPr>
          <w:rFonts w:cs="Arial"/>
          <w:sz w:val="16"/>
          <w:szCs w:val="16"/>
          <w:lang w:val="en-ZA"/>
        </w:rPr>
        <w:t xml:space="preserve">hen reduction of the Conversion Price means that upon conversion, the Holders of the Preference Shares will be issued a greater number of Ordinary Shares, compensating them for the reduced company valuation, weighted by the amount actually raised by the Company. </w:t>
      </w:r>
    </w:p>
  </w:footnote>
  <w:footnote w:id="138">
    <w:p w14:paraId="7959F308" w14:textId="77777777" w:rsidR="00821E9D" w:rsidRPr="00AD1F75" w:rsidRDefault="00821E9D" w:rsidP="00AD1F75">
      <w:pPr>
        <w:pStyle w:val="FootnoteText"/>
        <w:spacing w:after="0" w:line="240" w:lineRule="auto"/>
        <w:rPr>
          <w:rFonts w:cs="Arial"/>
          <w:sz w:val="16"/>
          <w:szCs w:val="16"/>
          <w:lang w:val="en-ZA"/>
        </w:rPr>
      </w:pPr>
      <w:r w:rsidRPr="00AD1F75">
        <w:rPr>
          <w:rStyle w:val="FootnoteReference"/>
          <w:rFonts w:cs="Arial"/>
          <w:sz w:val="16"/>
          <w:szCs w:val="16"/>
        </w:rPr>
        <w:footnoteRef/>
      </w:r>
      <w:r w:rsidRPr="00AD1F75">
        <w:rPr>
          <w:rFonts w:cs="Arial"/>
          <w:sz w:val="16"/>
          <w:szCs w:val="16"/>
        </w:rPr>
        <w:t xml:space="preserve"> </w:t>
      </w:r>
      <w:r w:rsidRPr="00AD1F75">
        <w:rPr>
          <w:rFonts w:cs="Arial"/>
          <w:b/>
          <w:bCs/>
          <w:sz w:val="16"/>
          <w:szCs w:val="16"/>
          <w:lang w:val="en-ZA"/>
        </w:rPr>
        <w:t>A Note on Anti-Dilution Mechanics</w:t>
      </w:r>
    </w:p>
    <w:p w14:paraId="0ACD6EB9" w14:textId="5431D49F" w:rsidR="00821E9D" w:rsidRPr="00821E9D" w:rsidRDefault="00821E9D" w:rsidP="00AD1F75">
      <w:pPr>
        <w:pStyle w:val="FootnoteText"/>
        <w:spacing w:after="0" w:line="240" w:lineRule="auto"/>
        <w:rPr>
          <w:rFonts w:cs="Arial"/>
          <w:sz w:val="16"/>
          <w:szCs w:val="16"/>
          <w:lang w:val="en-ZA"/>
        </w:rPr>
      </w:pPr>
      <w:r w:rsidRPr="00821E9D">
        <w:rPr>
          <w:rFonts w:cs="Arial"/>
          <w:sz w:val="16"/>
          <w:szCs w:val="16"/>
          <w:lang w:val="en-ZA"/>
        </w:rPr>
        <w:t xml:space="preserve">This clause implements a </w:t>
      </w:r>
      <w:r w:rsidR="006A005A">
        <w:rPr>
          <w:rFonts w:cs="Arial"/>
          <w:sz w:val="16"/>
          <w:szCs w:val="16"/>
          <w:lang w:val="en-ZA"/>
        </w:rPr>
        <w:t>"</w:t>
      </w:r>
      <w:r w:rsidRPr="00821E9D">
        <w:rPr>
          <w:rFonts w:cs="Arial"/>
          <w:sz w:val="16"/>
          <w:szCs w:val="16"/>
          <w:lang w:val="en-ZA"/>
        </w:rPr>
        <w:t>broad-based weighted-average</w:t>
      </w:r>
      <w:r w:rsidR="006A005A">
        <w:rPr>
          <w:rFonts w:cs="Arial"/>
          <w:sz w:val="16"/>
          <w:szCs w:val="16"/>
          <w:lang w:val="en-ZA"/>
        </w:rPr>
        <w:t>"</w:t>
      </w:r>
      <w:r w:rsidRPr="00821E9D">
        <w:rPr>
          <w:rFonts w:cs="Arial"/>
          <w:sz w:val="16"/>
          <w:szCs w:val="16"/>
          <w:lang w:val="en-ZA"/>
        </w:rPr>
        <w:t xml:space="preserve"> anti-dilution mechanism. This is a market-standard approach in venture capital financing designed to adjust the Preference Share Conversion Price in the event of a </w:t>
      </w:r>
      <w:r w:rsidR="006A005A">
        <w:rPr>
          <w:rFonts w:cs="Arial"/>
          <w:sz w:val="16"/>
          <w:szCs w:val="16"/>
          <w:lang w:val="en-ZA"/>
        </w:rPr>
        <w:t>"</w:t>
      </w:r>
      <w:r w:rsidRPr="00821E9D">
        <w:rPr>
          <w:rFonts w:cs="Arial"/>
          <w:sz w:val="16"/>
          <w:szCs w:val="16"/>
          <w:lang w:val="en-ZA"/>
        </w:rPr>
        <w:t>down round</w:t>
      </w:r>
      <w:r w:rsidR="006A005A">
        <w:rPr>
          <w:rFonts w:cs="Arial"/>
          <w:sz w:val="16"/>
          <w:szCs w:val="16"/>
          <w:lang w:val="en-ZA"/>
        </w:rPr>
        <w:t>"</w:t>
      </w:r>
      <w:r w:rsidRPr="00821E9D">
        <w:rPr>
          <w:rFonts w:cs="Arial"/>
          <w:sz w:val="16"/>
          <w:szCs w:val="16"/>
          <w:lang w:val="en-ZA"/>
        </w:rPr>
        <w:t xml:space="preserve"> (a future fundraising at a lower valuation).</w:t>
      </w:r>
    </w:p>
    <w:p w14:paraId="061D6994" w14:textId="77777777" w:rsidR="00821E9D" w:rsidRPr="00821E9D" w:rsidRDefault="00821E9D" w:rsidP="00AD1F75">
      <w:pPr>
        <w:pStyle w:val="FootnoteText"/>
        <w:spacing w:after="0" w:line="240" w:lineRule="auto"/>
        <w:rPr>
          <w:rFonts w:cs="Arial"/>
          <w:sz w:val="16"/>
          <w:szCs w:val="16"/>
          <w:lang w:val="en-ZA"/>
        </w:rPr>
      </w:pPr>
      <w:r w:rsidRPr="00821E9D">
        <w:rPr>
          <w:rFonts w:cs="Arial"/>
          <w:sz w:val="16"/>
          <w:szCs w:val="16"/>
          <w:lang w:val="en-ZA"/>
        </w:rPr>
        <w:t>The key commercial alternatives are:</w:t>
      </w:r>
    </w:p>
    <w:p w14:paraId="31681959" w14:textId="6FD78803" w:rsidR="00821E9D" w:rsidRPr="00821E9D" w:rsidRDefault="00821E9D" w:rsidP="00AD1F75">
      <w:pPr>
        <w:pStyle w:val="FootnoteText"/>
        <w:numPr>
          <w:ilvl w:val="0"/>
          <w:numId w:val="143"/>
        </w:numPr>
        <w:spacing w:after="0" w:line="240" w:lineRule="auto"/>
        <w:rPr>
          <w:rFonts w:cs="Arial"/>
          <w:sz w:val="16"/>
          <w:szCs w:val="16"/>
          <w:lang w:val="en-ZA"/>
        </w:rPr>
      </w:pPr>
      <w:r w:rsidRPr="00821E9D">
        <w:rPr>
          <w:rFonts w:cs="Arial"/>
          <w:b/>
          <w:bCs/>
          <w:sz w:val="16"/>
          <w:szCs w:val="16"/>
          <w:lang w:val="en-ZA"/>
        </w:rPr>
        <w:t>Full Ratchet:</w:t>
      </w:r>
      <w:r w:rsidRPr="00821E9D">
        <w:rPr>
          <w:rFonts w:cs="Arial"/>
          <w:sz w:val="16"/>
          <w:szCs w:val="16"/>
          <w:lang w:val="en-ZA"/>
        </w:rPr>
        <w:t> This is the most investor-friendly method. In a down round, the Conversion Price is simply reset to the new, lower price, regardless of the size of the new investment. This can be extremely dilutive for founders and other existing shareholders.</w:t>
      </w:r>
      <w:r w:rsidR="008C2A37" w:rsidRPr="00AD1F75">
        <w:rPr>
          <w:rFonts w:cs="Arial"/>
          <w:sz w:val="16"/>
          <w:szCs w:val="16"/>
          <w:lang w:val="en-ZA"/>
        </w:rPr>
        <w:t xml:space="preserve"> The wording is quite simple: If the Company makes a Dilutive Issuance, the Conversion Price will be reduced to equal the effective price per share paid by the new investors in that transaction.</w:t>
      </w:r>
    </w:p>
    <w:p w14:paraId="01A14939" w14:textId="77777777" w:rsidR="00821E9D" w:rsidRPr="00821E9D" w:rsidRDefault="00821E9D" w:rsidP="00AD1F75">
      <w:pPr>
        <w:pStyle w:val="FootnoteText"/>
        <w:numPr>
          <w:ilvl w:val="0"/>
          <w:numId w:val="143"/>
        </w:numPr>
        <w:spacing w:after="0" w:line="240" w:lineRule="auto"/>
        <w:rPr>
          <w:rFonts w:cs="Arial"/>
          <w:sz w:val="16"/>
          <w:szCs w:val="16"/>
          <w:lang w:val="en-ZA"/>
        </w:rPr>
      </w:pPr>
      <w:r w:rsidRPr="00821E9D">
        <w:rPr>
          <w:rFonts w:cs="Arial"/>
          <w:b/>
          <w:bCs/>
          <w:sz w:val="16"/>
          <w:szCs w:val="16"/>
          <w:lang w:val="en-ZA"/>
        </w:rPr>
        <w:t>Weighted-Average (Broad vs. Narrow):</w:t>
      </w:r>
      <w:r w:rsidRPr="00821E9D">
        <w:rPr>
          <w:rFonts w:cs="Arial"/>
          <w:sz w:val="16"/>
          <w:szCs w:val="16"/>
          <w:lang w:val="en-ZA"/>
        </w:rPr>
        <w:t> This method is more balanced. It adjusts the Conversion Price based on a formula that takes into account both the lower price and the number of new shares being issued.</w:t>
      </w:r>
    </w:p>
    <w:p w14:paraId="2382B3AD" w14:textId="64053ED5" w:rsidR="00821E9D" w:rsidRPr="00821E9D" w:rsidRDefault="00821E9D" w:rsidP="00AD1F75">
      <w:pPr>
        <w:pStyle w:val="FootnoteText"/>
        <w:numPr>
          <w:ilvl w:val="1"/>
          <w:numId w:val="143"/>
        </w:numPr>
        <w:spacing w:after="0" w:line="240" w:lineRule="auto"/>
        <w:rPr>
          <w:rFonts w:cs="Arial"/>
          <w:sz w:val="16"/>
          <w:szCs w:val="16"/>
          <w:lang w:val="en-ZA"/>
        </w:rPr>
      </w:pPr>
      <w:r w:rsidRPr="00821E9D">
        <w:rPr>
          <w:rFonts w:cs="Arial"/>
          <w:sz w:val="16"/>
          <w:szCs w:val="16"/>
          <w:lang w:val="en-ZA"/>
        </w:rPr>
        <w:t>A </w:t>
      </w:r>
      <w:r w:rsidRPr="00821E9D">
        <w:rPr>
          <w:rFonts w:cs="Arial"/>
          <w:b/>
          <w:bCs/>
          <w:sz w:val="16"/>
          <w:szCs w:val="16"/>
          <w:lang w:val="en-ZA"/>
        </w:rPr>
        <w:t>broad-based</w:t>
      </w:r>
      <w:r w:rsidRPr="00821E9D">
        <w:rPr>
          <w:rFonts w:cs="Arial"/>
          <w:sz w:val="16"/>
          <w:szCs w:val="16"/>
          <w:lang w:val="en-ZA"/>
        </w:rPr>
        <w:t xml:space="preserve"> formula (as used here) includes a wide range of securities (issued shares, options, and other convertibles) in the </w:t>
      </w:r>
      <w:r w:rsidR="006A005A">
        <w:rPr>
          <w:rFonts w:cs="Arial"/>
          <w:sz w:val="16"/>
          <w:szCs w:val="16"/>
          <w:lang w:val="en-ZA"/>
        </w:rPr>
        <w:t>"</w:t>
      </w:r>
      <w:r w:rsidRPr="00821E9D">
        <w:rPr>
          <w:rFonts w:cs="Arial"/>
          <w:sz w:val="16"/>
          <w:szCs w:val="16"/>
          <w:lang w:val="en-ZA"/>
        </w:rPr>
        <w:t>pre-round</w:t>
      </w:r>
      <w:r w:rsidR="006A005A">
        <w:rPr>
          <w:rFonts w:cs="Arial"/>
          <w:sz w:val="16"/>
          <w:szCs w:val="16"/>
          <w:lang w:val="en-ZA"/>
        </w:rPr>
        <w:t>"</w:t>
      </w:r>
      <w:r w:rsidRPr="00821E9D">
        <w:rPr>
          <w:rFonts w:cs="Arial"/>
          <w:sz w:val="16"/>
          <w:szCs w:val="16"/>
          <w:lang w:val="en-ZA"/>
        </w:rPr>
        <w:t xml:space="preserve"> share count. This is generally more founder-friendly as it results in a less severe price adjustment.</w:t>
      </w:r>
    </w:p>
    <w:p w14:paraId="6833AE84" w14:textId="5672DF82" w:rsidR="00821E9D" w:rsidRPr="00821E9D" w:rsidRDefault="00821E9D" w:rsidP="00AD1F75">
      <w:pPr>
        <w:pStyle w:val="FootnoteText"/>
        <w:numPr>
          <w:ilvl w:val="1"/>
          <w:numId w:val="143"/>
        </w:numPr>
        <w:spacing w:after="0" w:line="240" w:lineRule="auto"/>
        <w:rPr>
          <w:rFonts w:cs="Arial"/>
          <w:sz w:val="16"/>
          <w:szCs w:val="16"/>
          <w:lang w:val="en-ZA"/>
        </w:rPr>
      </w:pPr>
      <w:r w:rsidRPr="00821E9D">
        <w:rPr>
          <w:rFonts w:cs="Arial"/>
          <w:sz w:val="16"/>
          <w:szCs w:val="16"/>
          <w:lang w:val="en-ZA"/>
        </w:rPr>
        <w:t>A </w:t>
      </w:r>
      <w:r w:rsidRPr="00821E9D">
        <w:rPr>
          <w:rFonts w:cs="Arial"/>
          <w:b/>
          <w:bCs/>
          <w:sz w:val="16"/>
          <w:szCs w:val="16"/>
          <w:lang w:val="en-ZA"/>
        </w:rPr>
        <w:t>narrow-based</w:t>
      </w:r>
      <w:r w:rsidRPr="00821E9D">
        <w:rPr>
          <w:rFonts w:cs="Arial"/>
          <w:sz w:val="16"/>
          <w:szCs w:val="16"/>
          <w:lang w:val="en-ZA"/>
        </w:rPr>
        <w:t xml:space="preserve"> formula uses a smaller </w:t>
      </w:r>
      <w:r w:rsidR="006A005A">
        <w:rPr>
          <w:rFonts w:cs="Arial"/>
          <w:sz w:val="16"/>
          <w:szCs w:val="16"/>
          <w:lang w:val="en-ZA"/>
        </w:rPr>
        <w:t>"</w:t>
      </w:r>
      <w:r w:rsidRPr="00821E9D">
        <w:rPr>
          <w:rFonts w:cs="Arial"/>
          <w:sz w:val="16"/>
          <w:szCs w:val="16"/>
          <w:lang w:val="en-ZA"/>
        </w:rPr>
        <w:t>pre-round</w:t>
      </w:r>
      <w:r w:rsidR="006A005A">
        <w:rPr>
          <w:rFonts w:cs="Arial"/>
          <w:sz w:val="16"/>
          <w:szCs w:val="16"/>
          <w:lang w:val="en-ZA"/>
        </w:rPr>
        <w:t>"</w:t>
      </w:r>
      <w:r w:rsidRPr="00821E9D">
        <w:rPr>
          <w:rFonts w:cs="Arial"/>
          <w:sz w:val="16"/>
          <w:szCs w:val="16"/>
          <w:lang w:val="en-ZA"/>
        </w:rPr>
        <w:t xml:space="preserve"> share count (e.g., only issued Ordinary Shares), making the adjustment more sensitive to the new, lower price and therefore more investor-friendly than the broad-based approach.</w:t>
      </w:r>
    </w:p>
    <w:p w14:paraId="21BAEBEA" w14:textId="77777777" w:rsidR="00821E9D" w:rsidRPr="00821E9D" w:rsidRDefault="00821E9D" w:rsidP="00AD1F75">
      <w:pPr>
        <w:pStyle w:val="FootnoteText"/>
        <w:spacing w:after="0" w:line="240" w:lineRule="auto"/>
        <w:rPr>
          <w:rFonts w:cs="Arial"/>
          <w:sz w:val="16"/>
          <w:szCs w:val="16"/>
          <w:lang w:val="en-ZA"/>
        </w:rPr>
      </w:pPr>
      <w:r w:rsidRPr="00821E9D">
        <w:rPr>
          <w:rFonts w:cs="Arial"/>
          <w:sz w:val="16"/>
          <w:szCs w:val="16"/>
          <w:lang w:val="en-ZA"/>
        </w:rPr>
        <w:t>The broad-based weighted-average approach is widely considered to be a fair and commercially reasonable compromise, protecting investors from significant dilution while avoiding the excessively punitive outcomes of a full ratchet.</w:t>
      </w:r>
    </w:p>
    <w:p w14:paraId="4D02C9CA" w14:textId="1AF925A9" w:rsidR="00821E9D" w:rsidRPr="00AD1F75" w:rsidRDefault="00821E9D">
      <w:pPr>
        <w:pStyle w:val="FootnoteText"/>
        <w:rPr>
          <w:rFonts w:cs="Arial"/>
          <w:sz w:val="16"/>
          <w:szCs w:val="16"/>
          <w:lang w:val="en-US"/>
        </w:rPr>
      </w:pPr>
    </w:p>
  </w:footnote>
  <w:footnote w:id="139">
    <w:p w14:paraId="4483F634" w14:textId="7C7EB43C" w:rsidR="0027147B" w:rsidRPr="0027147B" w:rsidRDefault="0027147B">
      <w:pPr>
        <w:pStyle w:val="FootnoteText"/>
        <w:rPr>
          <w:sz w:val="16"/>
          <w:szCs w:val="16"/>
          <w:lang w:val="en-US"/>
        </w:rPr>
      </w:pPr>
      <w:r w:rsidRPr="0027147B">
        <w:rPr>
          <w:rStyle w:val="FootnoteReference"/>
          <w:sz w:val="16"/>
          <w:szCs w:val="16"/>
        </w:rPr>
        <w:footnoteRef/>
      </w:r>
      <w:r w:rsidRPr="0027147B">
        <w:rPr>
          <w:sz w:val="16"/>
          <w:szCs w:val="16"/>
        </w:rPr>
        <w:t xml:space="preserve"> </w:t>
      </w:r>
      <w:r w:rsidRPr="0027147B">
        <w:rPr>
          <w:sz w:val="16"/>
          <w:szCs w:val="16"/>
          <w:lang w:val="en-US"/>
        </w:rPr>
        <w:t xml:space="preserve">This is </w:t>
      </w:r>
      <w:r w:rsidR="00372DDD">
        <w:rPr>
          <w:sz w:val="16"/>
          <w:szCs w:val="16"/>
          <w:lang w:val="en-US"/>
        </w:rPr>
        <w:t>gives investors significant decision making veto power</w:t>
      </w:r>
      <w:r w:rsidRPr="0027147B">
        <w:rPr>
          <w:sz w:val="16"/>
          <w:szCs w:val="16"/>
          <w:lang w:val="en-US"/>
        </w:rPr>
        <w:t xml:space="preserve"> and should be specifically discussed and agreed with the Company</w:t>
      </w:r>
      <w:r w:rsidR="00372DDD">
        <w:rPr>
          <w:sz w:val="16"/>
          <w:szCs w:val="16"/>
          <w:lang w:val="en-US"/>
        </w:rPr>
        <w:t xml:space="preserve">. </w:t>
      </w:r>
    </w:p>
  </w:footnote>
  <w:footnote w:id="140">
    <w:p w14:paraId="1317D4CE" w14:textId="5A24E550" w:rsidR="000E3327" w:rsidRPr="00AD1F75" w:rsidRDefault="000E3327" w:rsidP="00BB70D5">
      <w:pPr>
        <w:pStyle w:val="DAFN"/>
      </w:pPr>
      <w:r w:rsidRPr="00AD1F75">
        <w:rPr>
          <w:rStyle w:val="FootnoteReference"/>
        </w:rPr>
        <w:footnoteRef/>
      </w:r>
      <w:r w:rsidRPr="00AD1F75">
        <w:t xml:space="preserve"> To cover convertible securities, consider: </w:t>
      </w:r>
      <w:r w:rsidR="006A005A">
        <w:t>"</w:t>
      </w:r>
      <w:r w:rsidRPr="00AD1F75">
        <w:t>issue any security, option, or instrument that could convert into shares ranking equal or senior to the Series A Preference Shares.</w:t>
      </w:r>
      <w:r w:rsidR="006A00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9CA2" w14:textId="77777777" w:rsidR="00665530" w:rsidRPr="00665530" w:rsidRDefault="00665530" w:rsidP="00665530">
    <w:pPr>
      <w:pStyle w:val="Header"/>
      <w:rPr>
        <w:sz w:val="18"/>
        <w:szCs w:val="18"/>
        <w:lang w:val="en-US"/>
      </w:rPr>
    </w:pPr>
    <w:r w:rsidRPr="00665530">
      <w:rPr>
        <w:sz w:val="18"/>
        <w:szCs w:val="18"/>
        <w:lang w:val="en-US"/>
      </w:rPr>
      <w:t>First Draft, Proposed Model Document</w:t>
    </w:r>
  </w:p>
  <w:p w14:paraId="4E8FD7A1" w14:textId="77777777" w:rsidR="00665530" w:rsidRPr="00665530" w:rsidRDefault="00665530" w:rsidP="00665530">
    <w:pPr>
      <w:rPr>
        <w:rFonts w:eastAsia="Arial" w:cs="Arial"/>
        <w:b/>
        <w:bCs/>
        <w:i/>
        <w:iCs/>
        <w:sz w:val="18"/>
        <w:szCs w:val="18"/>
      </w:rPr>
    </w:pPr>
  </w:p>
  <w:p w14:paraId="7F50212A" w14:textId="77777777" w:rsidR="00665530" w:rsidRPr="00665530" w:rsidRDefault="00665530" w:rsidP="00665530">
    <w:pPr>
      <w:rPr>
        <w:rFonts w:eastAsia="Arial" w:cs="Arial"/>
        <w:i/>
        <w:iCs/>
        <w:sz w:val="18"/>
        <w:szCs w:val="18"/>
      </w:rPr>
    </w:pPr>
    <w:r w:rsidRPr="00665530">
      <w:rPr>
        <w:rFonts w:eastAsia="Arial" w:cs="Arial"/>
        <w:b/>
        <w:bCs/>
        <w:i/>
        <w:iCs/>
        <w:sz w:val="18"/>
        <w:szCs w:val="18"/>
      </w:rPr>
      <w:t xml:space="preserve">Drafting Note:  </w:t>
    </w:r>
    <w:r w:rsidRPr="00665530">
      <w:rPr>
        <w:rFonts w:eastAsia="Arial" w:cs="Arial"/>
        <w:i/>
        <w:iCs/>
        <w:sz w:val="18"/>
        <w:szCs w:val="18"/>
      </w:rPr>
      <w:t>This document is a template designed for discussion. It includes various options for key provisions, which will need to be adapted to fit the specific commercial goals of your unique deal. As a template, it is not legal advice.</w:t>
    </w:r>
  </w:p>
  <w:p w14:paraId="401534C1" w14:textId="77777777" w:rsidR="00665530" w:rsidRPr="00665530" w:rsidRDefault="00665530" w:rsidP="00665530">
    <w:pPr>
      <w:rPr>
        <w:rFonts w:eastAsia="Arial" w:cs="Arial"/>
        <w:i/>
        <w:iCs/>
        <w:sz w:val="18"/>
        <w:szCs w:val="18"/>
      </w:rPr>
    </w:pPr>
  </w:p>
  <w:p w14:paraId="0895AA8E" w14:textId="1074698C" w:rsidR="00665530" w:rsidRPr="00665530" w:rsidRDefault="00665530" w:rsidP="00665530">
    <w:pPr>
      <w:rPr>
        <w:rFonts w:eastAsia="Arial" w:cs="Arial"/>
        <w:sz w:val="18"/>
        <w:szCs w:val="18"/>
      </w:rPr>
    </w:pPr>
    <w:r w:rsidRPr="00665530">
      <w:rPr>
        <w:rFonts w:eastAsia="Arial" w:cs="Arial"/>
        <w:sz w:val="18"/>
        <w:szCs w:val="18"/>
      </w:rPr>
      <w:t xml:space="preserve">Last updated </w:t>
    </w:r>
    <w:r w:rsidR="00320853">
      <w:rPr>
        <w:rFonts w:eastAsia="Arial" w:cs="Arial"/>
        <w:sz w:val="18"/>
        <w:szCs w:val="18"/>
      </w:rPr>
      <w:t>17 November 2025</w:t>
    </w:r>
  </w:p>
  <w:p w14:paraId="57AD5AD7" w14:textId="6E34B863" w:rsidR="00785AF5" w:rsidRPr="00665530" w:rsidRDefault="00785AF5" w:rsidP="00665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24E022"/>
    <w:lvl w:ilvl="0">
      <w:start w:val="1"/>
      <w:numFmt w:val="decimal"/>
      <w:pStyle w:val="ListNumber"/>
      <w:lvlText w:val="%1."/>
      <w:lvlJc w:val="left"/>
      <w:pPr>
        <w:tabs>
          <w:tab w:val="num" w:pos="360"/>
        </w:tabs>
        <w:ind w:left="360" w:hanging="360"/>
      </w:pPr>
    </w:lvl>
  </w:abstractNum>
  <w:abstractNum w:abstractNumId="1" w15:restartNumberingAfterBreak="0">
    <w:nsid w:val="012E6AD2"/>
    <w:multiLevelType w:val="hybridMultilevel"/>
    <w:tmpl w:val="80C0C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84896"/>
    <w:multiLevelType w:val="multilevel"/>
    <w:tmpl w:val="CCE0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A5FC0"/>
    <w:multiLevelType w:val="multilevel"/>
    <w:tmpl w:val="2BB4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F22BF"/>
    <w:multiLevelType w:val="multilevel"/>
    <w:tmpl w:val="6FA4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02DF5"/>
    <w:multiLevelType w:val="multilevel"/>
    <w:tmpl w:val="45D2E0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84648"/>
    <w:multiLevelType w:val="multilevel"/>
    <w:tmpl w:val="B35C69FA"/>
    <w:lvl w:ilvl="0">
      <w:start w:val="1"/>
      <w:numFmt w:val="decimal"/>
      <w:pStyle w:val="Annexures"/>
      <w:lvlText w:val="Schedule %1"/>
      <w:lvlJc w:val="left"/>
      <w:pPr>
        <w:ind w:left="0" w:firstLine="0"/>
      </w:pPr>
      <w:rPr>
        <w:rFonts w:hint="default"/>
        <w:b/>
        <w:i w:val="0"/>
        <w:sz w:val="20"/>
        <w:szCs w:val="20"/>
        <w:u w:val="none"/>
      </w:rPr>
    </w:lvl>
    <w:lvl w:ilvl="1">
      <w:start w:val="1"/>
      <w:numFmt w:val="decimal"/>
      <w:isLgl/>
      <w:lvlText w:val="%1.%2"/>
      <w:lvlJc w:val="left"/>
      <w:pPr>
        <w:tabs>
          <w:tab w:val="num" w:pos="1656"/>
        </w:tabs>
        <w:ind w:left="1656" w:hanging="936"/>
      </w:pPr>
      <w:rPr>
        <w:rFonts w:hint="default"/>
        <w:u w:val="none"/>
      </w:rPr>
    </w:lvl>
    <w:lvl w:ilvl="2">
      <w:start w:val="1"/>
      <w:numFmt w:val="decimal"/>
      <w:isLgl/>
      <w:lvlText w:val="%1.%2.%3"/>
      <w:lvlJc w:val="left"/>
      <w:pPr>
        <w:tabs>
          <w:tab w:val="num" w:pos="2736"/>
        </w:tabs>
        <w:ind w:left="2736" w:hanging="1080"/>
      </w:pPr>
      <w:rPr>
        <w:rFonts w:hint="default"/>
        <w:u w:val="none"/>
      </w:rPr>
    </w:lvl>
    <w:lvl w:ilvl="3">
      <w:start w:val="1"/>
      <w:numFmt w:val="decimal"/>
      <w:isLgl/>
      <w:lvlText w:val="%1.%2.%3.%4"/>
      <w:lvlJc w:val="left"/>
      <w:pPr>
        <w:tabs>
          <w:tab w:val="num" w:pos="4320"/>
        </w:tabs>
        <w:ind w:left="4320" w:hanging="1440"/>
      </w:pPr>
      <w:rPr>
        <w:rFonts w:hint="default"/>
        <w:u w:val="none"/>
      </w:rPr>
    </w:lvl>
    <w:lvl w:ilvl="4">
      <w:start w:val="1"/>
      <w:numFmt w:val="decimal"/>
      <w:isLgl/>
      <w:lvlText w:val="%1.%2.%3.%4.%5"/>
      <w:lvlJc w:val="left"/>
      <w:pPr>
        <w:tabs>
          <w:tab w:val="num" w:pos="4320"/>
        </w:tabs>
        <w:ind w:left="4320" w:hanging="1440"/>
      </w:pPr>
      <w:rPr>
        <w:rFonts w:hint="default"/>
        <w:u w:val="none"/>
      </w:rPr>
    </w:lvl>
    <w:lvl w:ilvl="5">
      <w:start w:val="1"/>
      <w:numFmt w:val="decimal"/>
      <w:isLgl/>
      <w:lvlText w:val="%1.%2.%3.%4.%5.%6"/>
      <w:lvlJc w:val="left"/>
      <w:pPr>
        <w:tabs>
          <w:tab w:val="num" w:pos="5328"/>
        </w:tabs>
        <w:ind w:left="5328" w:hanging="1728"/>
      </w:pPr>
      <w:rPr>
        <w:rFonts w:hint="default"/>
        <w:u w:val="none"/>
      </w:rPr>
    </w:lvl>
    <w:lvl w:ilvl="6">
      <w:start w:val="1"/>
      <w:numFmt w:val="decimal"/>
      <w:isLgl/>
      <w:lvlText w:val="%1.%2.%3.%4.%5.%6.%7"/>
      <w:lvlJc w:val="left"/>
      <w:pPr>
        <w:tabs>
          <w:tab w:val="num" w:pos="6192"/>
        </w:tabs>
        <w:ind w:left="6192" w:hanging="1872"/>
      </w:pPr>
      <w:rPr>
        <w:rFonts w:hint="default"/>
        <w:u w:val="none"/>
      </w:rPr>
    </w:lvl>
    <w:lvl w:ilvl="7">
      <w:start w:val="1"/>
      <w:numFmt w:val="decimal"/>
      <w:isLgl/>
      <w:lvlText w:val="%1.%2.%3.%4.%5.%6.%7.%8"/>
      <w:lvlJc w:val="left"/>
      <w:pPr>
        <w:tabs>
          <w:tab w:val="num" w:pos="7128"/>
        </w:tabs>
        <w:ind w:left="7128" w:hanging="2088"/>
      </w:pPr>
      <w:rPr>
        <w:rFonts w:hint="default"/>
        <w:u w:val="none"/>
      </w:rPr>
    </w:lvl>
    <w:lvl w:ilvl="8">
      <w:start w:val="1"/>
      <w:numFmt w:val="decimal"/>
      <w:isLgl/>
      <w:lvlText w:val="%1.%2.%3.%4.%5.%6.%7.%8.%9"/>
      <w:lvlJc w:val="left"/>
      <w:pPr>
        <w:tabs>
          <w:tab w:val="num" w:pos="8064"/>
        </w:tabs>
        <w:ind w:left="8064" w:hanging="2304"/>
      </w:pPr>
      <w:rPr>
        <w:rFonts w:hint="default"/>
        <w:u w:val="none"/>
      </w:rPr>
    </w:lvl>
  </w:abstractNum>
  <w:abstractNum w:abstractNumId="7" w15:restartNumberingAfterBreak="0">
    <w:nsid w:val="10F545CC"/>
    <w:multiLevelType w:val="multilevel"/>
    <w:tmpl w:val="A776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43295"/>
    <w:multiLevelType w:val="hybridMultilevel"/>
    <w:tmpl w:val="FC281DA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18E2E94"/>
    <w:multiLevelType w:val="multilevel"/>
    <w:tmpl w:val="48DE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F70E9F"/>
    <w:multiLevelType w:val="multilevel"/>
    <w:tmpl w:val="3D0C6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63883"/>
    <w:multiLevelType w:val="multilevel"/>
    <w:tmpl w:val="76DC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9C6320"/>
    <w:multiLevelType w:val="multilevel"/>
    <w:tmpl w:val="42E4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8A3CE4"/>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E141AE"/>
    <w:multiLevelType w:val="hybridMultilevel"/>
    <w:tmpl w:val="CF4C4E8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191450D4"/>
    <w:multiLevelType w:val="multilevel"/>
    <w:tmpl w:val="45EE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825928"/>
    <w:multiLevelType w:val="hybridMultilevel"/>
    <w:tmpl w:val="2A8461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A6250C4"/>
    <w:multiLevelType w:val="hybridMultilevel"/>
    <w:tmpl w:val="7752107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1B956CAA"/>
    <w:multiLevelType w:val="multilevel"/>
    <w:tmpl w:val="FE92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40120"/>
    <w:multiLevelType w:val="multilevel"/>
    <w:tmpl w:val="C966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DA017A"/>
    <w:multiLevelType w:val="multilevel"/>
    <w:tmpl w:val="CBEE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296985"/>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40441E"/>
    <w:multiLevelType w:val="multilevel"/>
    <w:tmpl w:val="479CC31A"/>
    <w:numStyleLink w:val="111111"/>
  </w:abstractNum>
  <w:abstractNum w:abstractNumId="23" w15:restartNumberingAfterBreak="0">
    <w:nsid w:val="221C3475"/>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2491557"/>
    <w:multiLevelType w:val="multilevel"/>
    <w:tmpl w:val="2430C3E0"/>
    <w:lvl w:ilvl="0">
      <w:start w:val="1"/>
      <w:numFmt w:val="decimal"/>
      <w:pStyle w:val="Heading1"/>
      <w:isLgl/>
      <w:lvlText w:val="%1"/>
      <w:lvlJc w:val="left"/>
      <w:pPr>
        <w:tabs>
          <w:tab w:val="num" w:pos="851"/>
        </w:tabs>
        <w:ind w:left="709" w:hanging="709"/>
      </w:pPr>
      <w:rPr>
        <w:rFonts w:hint="default"/>
      </w:rPr>
    </w:lvl>
    <w:lvl w:ilvl="1">
      <w:start w:val="1"/>
      <w:numFmt w:val="decimal"/>
      <w:pStyle w:val="Heading2"/>
      <w:isLgl/>
      <w:lvlText w:val="%1.%2"/>
      <w:lvlJc w:val="left"/>
      <w:pPr>
        <w:tabs>
          <w:tab w:val="num" w:pos="1701"/>
        </w:tabs>
        <w:ind w:left="1418" w:hanging="709"/>
      </w:pPr>
      <w:rPr>
        <w:rFonts w:hint="default"/>
        <w:b w:val="0"/>
        <w:i w:val="0"/>
        <w:sz w:val="22"/>
        <w:szCs w:val="22"/>
      </w:rPr>
    </w:lvl>
    <w:lvl w:ilvl="2">
      <w:start w:val="1"/>
      <w:numFmt w:val="decimal"/>
      <w:pStyle w:val="Heading3"/>
      <w:isLgl/>
      <w:lvlText w:val="%1.%2.%3"/>
      <w:lvlJc w:val="left"/>
      <w:pPr>
        <w:tabs>
          <w:tab w:val="num" w:pos="14175"/>
        </w:tabs>
        <w:ind w:left="2268" w:hanging="850"/>
      </w:pPr>
    </w:lvl>
    <w:lvl w:ilvl="3">
      <w:start w:val="1"/>
      <w:numFmt w:val="decimal"/>
      <w:pStyle w:val="Heading4"/>
      <w:isLgl/>
      <w:lvlText w:val="%1.%2.%3.%4"/>
      <w:lvlJc w:val="left"/>
      <w:pPr>
        <w:tabs>
          <w:tab w:val="num" w:pos="13466"/>
        </w:tabs>
        <w:ind w:left="3260" w:hanging="992"/>
      </w:pPr>
      <w:rPr>
        <w:rFonts w:hint="default"/>
        <w:b w:val="0"/>
      </w:rPr>
    </w:lvl>
    <w:lvl w:ilvl="4">
      <w:start w:val="1"/>
      <w:numFmt w:val="decimal"/>
      <w:pStyle w:val="Heading5"/>
      <w:lvlText w:val="%1.%2.%3.%4.%5"/>
      <w:lvlJc w:val="left"/>
      <w:pPr>
        <w:tabs>
          <w:tab w:val="num" w:pos="4536"/>
        </w:tabs>
        <w:ind w:left="4394" w:hanging="1134"/>
      </w:pPr>
      <w:rPr>
        <w:rFonts w:hint="default"/>
        <w:b w:val="0"/>
      </w:rPr>
    </w:lvl>
    <w:lvl w:ilvl="5">
      <w:start w:val="1"/>
      <w:numFmt w:val="decimal"/>
      <w:pStyle w:val="Heading6"/>
      <w:lvlText w:val="%1.%2.%3.%4.%5.%6"/>
      <w:lvlJc w:val="left"/>
      <w:pPr>
        <w:tabs>
          <w:tab w:val="num" w:pos="5103"/>
        </w:tabs>
        <w:ind w:left="5245" w:hanging="851"/>
      </w:pPr>
      <w:rPr>
        <w:rFonts w:hint="default"/>
        <w:b w:val="0"/>
      </w:rPr>
    </w:lvl>
    <w:lvl w:ilvl="6">
      <w:start w:val="1"/>
      <w:numFmt w:val="decimal"/>
      <w:pStyle w:val="Heading7"/>
      <w:lvlText w:val="%1.%2.%3.%4.%5.%6.%7"/>
      <w:lvlJc w:val="left"/>
      <w:pPr>
        <w:tabs>
          <w:tab w:val="num" w:pos="3706"/>
        </w:tabs>
        <w:ind w:left="3706" w:hanging="1296"/>
      </w:pPr>
      <w:rPr>
        <w:rFonts w:hint="default"/>
      </w:rPr>
    </w:lvl>
    <w:lvl w:ilvl="7">
      <w:start w:val="1"/>
      <w:numFmt w:val="decimal"/>
      <w:pStyle w:val="Heading8"/>
      <w:lvlText w:val="%1.%2.%3.%4.%5.%6.%7.%8"/>
      <w:lvlJc w:val="left"/>
      <w:pPr>
        <w:tabs>
          <w:tab w:val="num" w:pos="3850"/>
        </w:tabs>
        <w:ind w:left="3850" w:hanging="1440"/>
      </w:pPr>
      <w:rPr>
        <w:rFonts w:hint="default"/>
      </w:rPr>
    </w:lvl>
    <w:lvl w:ilvl="8">
      <w:start w:val="1"/>
      <w:numFmt w:val="decimal"/>
      <w:pStyle w:val="Heading9"/>
      <w:lvlText w:val="%1.%2.%3.%4.%5.%6.%7.%8.%9"/>
      <w:lvlJc w:val="left"/>
      <w:pPr>
        <w:tabs>
          <w:tab w:val="num" w:pos="3994"/>
        </w:tabs>
        <w:ind w:left="3994" w:hanging="1584"/>
      </w:pPr>
      <w:rPr>
        <w:rFonts w:hint="default"/>
      </w:rPr>
    </w:lvl>
  </w:abstractNum>
  <w:abstractNum w:abstractNumId="25" w15:restartNumberingAfterBreak="0">
    <w:nsid w:val="265831E9"/>
    <w:multiLevelType w:val="multilevel"/>
    <w:tmpl w:val="CE1A4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2A4099"/>
    <w:multiLevelType w:val="multilevel"/>
    <w:tmpl w:val="041E3D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8945E9A"/>
    <w:multiLevelType w:val="multilevel"/>
    <w:tmpl w:val="F98C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4B63E0"/>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0B210D"/>
    <w:multiLevelType w:val="hybridMultilevel"/>
    <w:tmpl w:val="60CE1F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AA8356D"/>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AEF5C9F"/>
    <w:multiLevelType w:val="hybridMultilevel"/>
    <w:tmpl w:val="2B0E1D00"/>
    <w:lvl w:ilvl="0" w:tplc="022A538C">
      <w:start w:val="1"/>
      <w:numFmt w:val="lowerLetter"/>
      <w:lvlText w:val="%1)"/>
      <w:lvlJc w:val="left"/>
      <w:pPr>
        <w:ind w:left="720" w:hanging="360"/>
      </w:pPr>
    </w:lvl>
    <w:lvl w:ilvl="1" w:tplc="87E603AE">
      <w:start w:val="1"/>
      <w:numFmt w:val="lowerLetter"/>
      <w:lvlText w:val="%2)"/>
      <w:lvlJc w:val="left"/>
      <w:pPr>
        <w:ind w:left="720" w:hanging="360"/>
      </w:pPr>
    </w:lvl>
    <w:lvl w:ilvl="2" w:tplc="87A67C1A">
      <w:start w:val="1"/>
      <w:numFmt w:val="lowerLetter"/>
      <w:lvlText w:val="%3)"/>
      <w:lvlJc w:val="left"/>
      <w:pPr>
        <w:ind w:left="720" w:hanging="360"/>
      </w:pPr>
    </w:lvl>
    <w:lvl w:ilvl="3" w:tplc="65C6DDB0">
      <w:start w:val="1"/>
      <w:numFmt w:val="lowerLetter"/>
      <w:lvlText w:val="%4)"/>
      <w:lvlJc w:val="left"/>
      <w:pPr>
        <w:ind w:left="720" w:hanging="360"/>
      </w:pPr>
    </w:lvl>
    <w:lvl w:ilvl="4" w:tplc="48F44E2C">
      <w:start w:val="1"/>
      <w:numFmt w:val="lowerLetter"/>
      <w:lvlText w:val="%5)"/>
      <w:lvlJc w:val="left"/>
      <w:pPr>
        <w:ind w:left="720" w:hanging="360"/>
      </w:pPr>
    </w:lvl>
    <w:lvl w:ilvl="5" w:tplc="68F63DB6">
      <w:start w:val="1"/>
      <w:numFmt w:val="lowerLetter"/>
      <w:lvlText w:val="%6)"/>
      <w:lvlJc w:val="left"/>
      <w:pPr>
        <w:ind w:left="720" w:hanging="360"/>
      </w:pPr>
    </w:lvl>
    <w:lvl w:ilvl="6" w:tplc="EA7E997A">
      <w:start w:val="1"/>
      <w:numFmt w:val="lowerLetter"/>
      <w:lvlText w:val="%7)"/>
      <w:lvlJc w:val="left"/>
      <w:pPr>
        <w:ind w:left="720" w:hanging="360"/>
      </w:pPr>
    </w:lvl>
    <w:lvl w:ilvl="7" w:tplc="5D98140A">
      <w:start w:val="1"/>
      <w:numFmt w:val="lowerLetter"/>
      <w:lvlText w:val="%8)"/>
      <w:lvlJc w:val="left"/>
      <w:pPr>
        <w:ind w:left="720" w:hanging="360"/>
      </w:pPr>
    </w:lvl>
    <w:lvl w:ilvl="8" w:tplc="213E9C20">
      <w:start w:val="1"/>
      <w:numFmt w:val="lowerLetter"/>
      <w:lvlText w:val="%9)"/>
      <w:lvlJc w:val="left"/>
      <w:pPr>
        <w:ind w:left="720" w:hanging="360"/>
      </w:pPr>
    </w:lvl>
  </w:abstractNum>
  <w:abstractNum w:abstractNumId="32" w15:restartNumberingAfterBreak="0">
    <w:nsid w:val="2B18767E"/>
    <w:multiLevelType w:val="hybridMultilevel"/>
    <w:tmpl w:val="D1B45BD4"/>
    <w:lvl w:ilvl="0" w:tplc="546AEF2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B812D0B"/>
    <w:multiLevelType w:val="multilevel"/>
    <w:tmpl w:val="7AD4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355A61"/>
    <w:multiLevelType w:val="hybridMultilevel"/>
    <w:tmpl w:val="E45E83E0"/>
    <w:lvl w:ilvl="0" w:tplc="A49A35C2">
      <w:start w:val="1"/>
      <w:numFmt w:val="lowerLetter"/>
      <w:lvlText w:val="%1)"/>
      <w:lvlJc w:val="left"/>
      <w:pPr>
        <w:ind w:left="720" w:hanging="360"/>
      </w:pPr>
    </w:lvl>
    <w:lvl w:ilvl="1" w:tplc="B80C22CE">
      <w:start w:val="1"/>
      <w:numFmt w:val="lowerLetter"/>
      <w:lvlText w:val="%2)"/>
      <w:lvlJc w:val="left"/>
      <w:pPr>
        <w:ind w:left="720" w:hanging="360"/>
      </w:pPr>
    </w:lvl>
    <w:lvl w:ilvl="2" w:tplc="BCD24894">
      <w:start w:val="1"/>
      <w:numFmt w:val="lowerLetter"/>
      <w:lvlText w:val="%3)"/>
      <w:lvlJc w:val="left"/>
      <w:pPr>
        <w:ind w:left="720" w:hanging="360"/>
      </w:pPr>
    </w:lvl>
    <w:lvl w:ilvl="3" w:tplc="AB10F65C">
      <w:start w:val="1"/>
      <w:numFmt w:val="lowerLetter"/>
      <w:lvlText w:val="%4)"/>
      <w:lvlJc w:val="left"/>
      <w:pPr>
        <w:ind w:left="720" w:hanging="360"/>
      </w:pPr>
    </w:lvl>
    <w:lvl w:ilvl="4" w:tplc="B3ECE364">
      <w:start w:val="1"/>
      <w:numFmt w:val="lowerLetter"/>
      <w:lvlText w:val="%5)"/>
      <w:lvlJc w:val="left"/>
      <w:pPr>
        <w:ind w:left="720" w:hanging="360"/>
      </w:pPr>
    </w:lvl>
    <w:lvl w:ilvl="5" w:tplc="2BC0B6AC">
      <w:start w:val="1"/>
      <w:numFmt w:val="lowerLetter"/>
      <w:lvlText w:val="%6)"/>
      <w:lvlJc w:val="left"/>
      <w:pPr>
        <w:ind w:left="720" w:hanging="360"/>
      </w:pPr>
    </w:lvl>
    <w:lvl w:ilvl="6" w:tplc="7D24343E">
      <w:start w:val="1"/>
      <w:numFmt w:val="lowerLetter"/>
      <w:lvlText w:val="%7)"/>
      <w:lvlJc w:val="left"/>
      <w:pPr>
        <w:ind w:left="720" w:hanging="360"/>
      </w:pPr>
    </w:lvl>
    <w:lvl w:ilvl="7" w:tplc="75F00686">
      <w:start w:val="1"/>
      <w:numFmt w:val="lowerLetter"/>
      <w:lvlText w:val="%8)"/>
      <w:lvlJc w:val="left"/>
      <w:pPr>
        <w:ind w:left="720" w:hanging="360"/>
      </w:pPr>
    </w:lvl>
    <w:lvl w:ilvl="8" w:tplc="AE4637A8">
      <w:start w:val="1"/>
      <w:numFmt w:val="lowerLetter"/>
      <w:lvlText w:val="%9)"/>
      <w:lvlJc w:val="left"/>
      <w:pPr>
        <w:ind w:left="720" w:hanging="360"/>
      </w:pPr>
    </w:lvl>
  </w:abstractNum>
  <w:abstractNum w:abstractNumId="35" w15:restartNumberingAfterBreak="0">
    <w:nsid w:val="2FC553DF"/>
    <w:multiLevelType w:val="multilevel"/>
    <w:tmpl w:val="B166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E63870"/>
    <w:multiLevelType w:val="hybridMultilevel"/>
    <w:tmpl w:val="D80A9A72"/>
    <w:lvl w:ilvl="0" w:tplc="AFD40650">
      <w:start w:val="1"/>
      <w:numFmt w:val="lowerLetter"/>
      <w:lvlText w:val="%1)"/>
      <w:lvlJc w:val="left"/>
      <w:pPr>
        <w:ind w:left="720" w:hanging="360"/>
      </w:pPr>
    </w:lvl>
    <w:lvl w:ilvl="1" w:tplc="7F80F080">
      <w:start w:val="1"/>
      <w:numFmt w:val="lowerLetter"/>
      <w:lvlText w:val="%2)"/>
      <w:lvlJc w:val="left"/>
      <w:pPr>
        <w:ind w:left="720" w:hanging="360"/>
      </w:pPr>
    </w:lvl>
    <w:lvl w:ilvl="2" w:tplc="F1ACECEC">
      <w:start w:val="1"/>
      <w:numFmt w:val="lowerLetter"/>
      <w:lvlText w:val="%3)"/>
      <w:lvlJc w:val="left"/>
      <w:pPr>
        <w:ind w:left="720" w:hanging="360"/>
      </w:pPr>
    </w:lvl>
    <w:lvl w:ilvl="3" w:tplc="9A52DDD4">
      <w:start w:val="1"/>
      <w:numFmt w:val="lowerLetter"/>
      <w:lvlText w:val="%4)"/>
      <w:lvlJc w:val="left"/>
      <w:pPr>
        <w:ind w:left="720" w:hanging="360"/>
      </w:pPr>
    </w:lvl>
    <w:lvl w:ilvl="4" w:tplc="BAB07BFA">
      <w:start w:val="1"/>
      <w:numFmt w:val="lowerLetter"/>
      <w:lvlText w:val="%5)"/>
      <w:lvlJc w:val="left"/>
      <w:pPr>
        <w:ind w:left="720" w:hanging="360"/>
      </w:pPr>
    </w:lvl>
    <w:lvl w:ilvl="5" w:tplc="C8CCC24A">
      <w:start w:val="1"/>
      <w:numFmt w:val="lowerLetter"/>
      <w:lvlText w:val="%6)"/>
      <w:lvlJc w:val="left"/>
      <w:pPr>
        <w:ind w:left="720" w:hanging="360"/>
      </w:pPr>
    </w:lvl>
    <w:lvl w:ilvl="6" w:tplc="0D9EC054">
      <w:start w:val="1"/>
      <w:numFmt w:val="lowerLetter"/>
      <w:lvlText w:val="%7)"/>
      <w:lvlJc w:val="left"/>
      <w:pPr>
        <w:ind w:left="720" w:hanging="360"/>
      </w:pPr>
    </w:lvl>
    <w:lvl w:ilvl="7" w:tplc="FC7A6518">
      <w:start w:val="1"/>
      <w:numFmt w:val="lowerLetter"/>
      <w:lvlText w:val="%8)"/>
      <w:lvlJc w:val="left"/>
      <w:pPr>
        <w:ind w:left="720" w:hanging="360"/>
      </w:pPr>
    </w:lvl>
    <w:lvl w:ilvl="8" w:tplc="C4A46A1A">
      <w:start w:val="1"/>
      <w:numFmt w:val="lowerLetter"/>
      <w:lvlText w:val="%9)"/>
      <w:lvlJc w:val="left"/>
      <w:pPr>
        <w:ind w:left="720" w:hanging="360"/>
      </w:pPr>
    </w:lvl>
  </w:abstractNum>
  <w:abstractNum w:abstractNumId="37" w15:restartNumberingAfterBreak="0">
    <w:nsid w:val="30560F1D"/>
    <w:multiLevelType w:val="multilevel"/>
    <w:tmpl w:val="E2AA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1954A6"/>
    <w:multiLevelType w:val="hybridMultilevel"/>
    <w:tmpl w:val="6BF64A2A"/>
    <w:lvl w:ilvl="0" w:tplc="B590CBF0">
      <w:start w:val="1"/>
      <w:numFmt w:val="decimal"/>
      <w:lvlText w:val="%1."/>
      <w:lvlJc w:val="left"/>
      <w:pPr>
        <w:ind w:left="1020" w:hanging="360"/>
      </w:pPr>
    </w:lvl>
    <w:lvl w:ilvl="1" w:tplc="71AAF5CA">
      <w:start w:val="1"/>
      <w:numFmt w:val="decimal"/>
      <w:lvlText w:val="%2."/>
      <w:lvlJc w:val="left"/>
      <w:pPr>
        <w:ind w:left="1020" w:hanging="360"/>
      </w:pPr>
    </w:lvl>
    <w:lvl w:ilvl="2" w:tplc="E71E271C">
      <w:start w:val="1"/>
      <w:numFmt w:val="decimal"/>
      <w:lvlText w:val="%3."/>
      <w:lvlJc w:val="left"/>
      <w:pPr>
        <w:ind w:left="1020" w:hanging="360"/>
      </w:pPr>
    </w:lvl>
    <w:lvl w:ilvl="3" w:tplc="B6D8FB70">
      <w:start w:val="1"/>
      <w:numFmt w:val="decimal"/>
      <w:lvlText w:val="%4."/>
      <w:lvlJc w:val="left"/>
      <w:pPr>
        <w:ind w:left="1020" w:hanging="360"/>
      </w:pPr>
    </w:lvl>
    <w:lvl w:ilvl="4" w:tplc="A2286F6E">
      <w:start w:val="1"/>
      <w:numFmt w:val="decimal"/>
      <w:lvlText w:val="%5."/>
      <w:lvlJc w:val="left"/>
      <w:pPr>
        <w:ind w:left="1020" w:hanging="360"/>
      </w:pPr>
    </w:lvl>
    <w:lvl w:ilvl="5" w:tplc="2A4C2412">
      <w:start w:val="1"/>
      <w:numFmt w:val="decimal"/>
      <w:lvlText w:val="%6."/>
      <w:lvlJc w:val="left"/>
      <w:pPr>
        <w:ind w:left="1020" w:hanging="360"/>
      </w:pPr>
    </w:lvl>
    <w:lvl w:ilvl="6" w:tplc="376E031E">
      <w:start w:val="1"/>
      <w:numFmt w:val="decimal"/>
      <w:lvlText w:val="%7."/>
      <w:lvlJc w:val="left"/>
      <w:pPr>
        <w:ind w:left="1020" w:hanging="360"/>
      </w:pPr>
    </w:lvl>
    <w:lvl w:ilvl="7" w:tplc="DA5C8DAE">
      <w:start w:val="1"/>
      <w:numFmt w:val="decimal"/>
      <w:lvlText w:val="%8."/>
      <w:lvlJc w:val="left"/>
      <w:pPr>
        <w:ind w:left="1020" w:hanging="360"/>
      </w:pPr>
    </w:lvl>
    <w:lvl w:ilvl="8" w:tplc="F8161A10">
      <w:start w:val="1"/>
      <w:numFmt w:val="decimal"/>
      <w:lvlText w:val="%9."/>
      <w:lvlJc w:val="left"/>
      <w:pPr>
        <w:ind w:left="1020" w:hanging="360"/>
      </w:pPr>
    </w:lvl>
  </w:abstractNum>
  <w:abstractNum w:abstractNumId="39" w15:restartNumberingAfterBreak="0">
    <w:nsid w:val="3A0B7F47"/>
    <w:multiLevelType w:val="hybridMultilevel"/>
    <w:tmpl w:val="AF8C397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3A725788"/>
    <w:multiLevelType w:val="multilevel"/>
    <w:tmpl w:val="AE7C4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812FD6"/>
    <w:multiLevelType w:val="multilevel"/>
    <w:tmpl w:val="C588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155603"/>
    <w:multiLevelType w:val="hybridMultilevel"/>
    <w:tmpl w:val="7AF8049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3CF54F31"/>
    <w:multiLevelType w:val="hybridMultilevel"/>
    <w:tmpl w:val="96D6FF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3DE42284"/>
    <w:multiLevelType w:val="hybridMultilevel"/>
    <w:tmpl w:val="C6C2A382"/>
    <w:lvl w:ilvl="0" w:tplc="1C090001">
      <w:start w:val="1"/>
      <w:numFmt w:val="bullet"/>
      <w:lvlText w:val=""/>
      <w:lvlJc w:val="left"/>
      <w:pPr>
        <w:ind w:left="3600" w:hanging="360"/>
      </w:pPr>
      <w:rPr>
        <w:rFonts w:ascii="Symbol" w:hAnsi="Symbol" w:hint="default"/>
      </w:rPr>
    </w:lvl>
    <w:lvl w:ilvl="1" w:tplc="1C090003">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45" w15:restartNumberingAfterBreak="0">
    <w:nsid w:val="3EBE3C80"/>
    <w:multiLevelType w:val="multilevel"/>
    <w:tmpl w:val="5652F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9166FC"/>
    <w:multiLevelType w:val="multilevel"/>
    <w:tmpl w:val="3550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5734A9"/>
    <w:multiLevelType w:val="multilevel"/>
    <w:tmpl w:val="CE227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30F4819"/>
    <w:multiLevelType w:val="multilevel"/>
    <w:tmpl w:val="4E684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675F0A"/>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588225C"/>
    <w:multiLevelType w:val="multilevel"/>
    <w:tmpl w:val="C7D00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BC46D9"/>
    <w:multiLevelType w:val="hybridMultilevel"/>
    <w:tmpl w:val="862E0288"/>
    <w:lvl w:ilvl="0" w:tplc="70BEBF88">
      <w:start w:val="1"/>
      <w:numFmt w:val="lowerLetter"/>
      <w:lvlText w:val="%1)"/>
      <w:lvlJc w:val="left"/>
      <w:pPr>
        <w:ind w:left="720" w:hanging="360"/>
      </w:pPr>
    </w:lvl>
    <w:lvl w:ilvl="1" w:tplc="70A27738">
      <w:start w:val="1"/>
      <w:numFmt w:val="lowerLetter"/>
      <w:lvlText w:val="%2)"/>
      <w:lvlJc w:val="left"/>
      <w:pPr>
        <w:ind w:left="720" w:hanging="360"/>
      </w:pPr>
    </w:lvl>
    <w:lvl w:ilvl="2" w:tplc="2D22B714">
      <w:start w:val="1"/>
      <w:numFmt w:val="lowerLetter"/>
      <w:lvlText w:val="%3)"/>
      <w:lvlJc w:val="left"/>
      <w:pPr>
        <w:ind w:left="720" w:hanging="360"/>
      </w:pPr>
    </w:lvl>
    <w:lvl w:ilvl="3" w:tplc="3202C634">
      <w:start w:val="1"/>
      <w:numFmt w:val="lowerLetter"/>
      <w:lvlText w:val="%4)"/>
      <w:lvlJc w:val="left"/>
      <w:pPr>
        <w:ind w:left="720" w:hanging="360"/>
      </w:pPr>
    </w:lvl>
    <w:lvl w:ilvl="4" w:tplc="6BB466AE">
      <w:start w:val="1"/>
      <w:numFmt w:val="lowerLetter"/>
      <w:lvlText w:val="%5)"/>
      <w:lvlJc w:val="left"/>
      <w:pPr>
        <w:ind w:left="720" w:hanging="360"/>
      </w:pPr>
    </w:lvl>
    <w:lvl w:ilvl="5" w:tplc="A9128FE2">
      <w:start w:val="1"/>
      <w:numFmt w:val="lowerLetter"/>
      <w:lvlText w:val="%6)"/>
      <w:lvlJc w:val="left"/>
      <w:pPr>
        <w:ind w:left="720" w:hanging="360"/>
      </w:pPr>
    </w:lvl>
    <w:lvl w:ilvl="6" w:tplc="470267C6">
      <w:start w:val="1"/>
      <w:numFmt w:val="lowerLetter"/>
      <w:lvlText w:val="%7)"/>
      <w:lvlJc w:val="left"/>
      <w:pPr>
        <w:ind w:left="720" w:hanging="360"/>
      </w:pPr>
    </w:lvl>
    <w:lvl w:ilvl="7" w:tplc="8C5ACADC">
      <w:start w:val="1"/>
      <w:numFmt w:val="lowerLetter"/>
      <w:lvlText w:val="%8)"/>
      <w:lvlJc w:val="left"/>
      <w:pPr>
        <w:ind w:left="720" w:hanging="360"/>
      </w:pPr>
    </w:lvl>
    <w:lvl w:ilvl="8" w:tplc="CEE6D9AE">
      <w:start w:val="1"/>
      <w:numFmt w:val="lowerLetter"/>
      <w:lvlText w:val="%9)"/>
      <w:lvlJc w:val="left"/>
      <w:pPr>
        <w:ind w:left="720" w:hanging="360"/>
      </w:pPr>
    </w:lvl>
  </w:abstractNum>
  <w:abstractNum w:abstractNumId="52" w15:restartNumberingAfterBreak="0">
    <w:nsid w:val="4C970A10"/>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CAF2CCB"/>
    <w:multiLevelType w:val="hybridMultilevel"/>
    <w:tmpl w:val="430A611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4DC302C5"/>
    <w:multiLevelType w:val="multilevel"/>
    <w:tmpl w:val="491E84EE"/>
    <w:lvl w:ilvl="0">
      <w:start w:val="1"/>
      <w:numFmt w:val="decimal"/>
      <w:isLgl/>
      <w:lvlText w:val="%1."/>
      <w:lvlJc w:val="left"/>
      <w:pPr>
        <w:tabs>
          <w:tab w:val="num" w:pos="680"/>
        </w:tabs>
        <w:ind w:left="680" w:hanging="680"/>
      </w:pPr>
      <w:rPr>
        <w:rFonts w:hint="default"/>
      </w:rPr>
    </w:lvl>
    <w:lvl w:ilvl="1">
      <w:start w:val="1"/>
      <w:numFmt w:val="decimal"/>
      <w:pStyle w:val="TOCClause2Sub"/>
      <w:lvlText w:val="%1.%2."/>
      <w:lvlJc w:val="left"/>
      <w:pPr>
        <w:tabs>
          <w:tab w:val="num" w:pos="1474"/>
        </w:tabs>
        <w:ind w:left="1474" w:hanging="794"/>
      </w:pPr>
      <w:rPr>
        <w:rFonts w:hint="default"/>
      </w:rPr>
    </w:lvl>
    <w:lvl w:ilvl="2">
      <w:start w:val="1"/>
      <w:numFmt w:val="decimal"/>
      <w:lvlText w:val="%1.%2.%3."/>
      <w:lvlJc w:val="left"/>
      <w:pPr>
        <w:tabs>
          <w:tab w:val="num" w:pos="2552"/>
        </w:tabs>
        <w:ind w:left="2552" w:hanging="1078"/>
      </w:pPr>
      <w:rPr>
        <w:rFonts w:hint="default"/>
      </w:rPr>
    </w:lvl>
    <w:lvl w:ilvl="3">
      <w:start w:val="1"/>
      <w:numFmt w:val="decimal"/>
      <w:lvlText w:val="%1.%2.%3.%4."/>
      <w:lvlJc w:val="left"/>
      <w:pPr>
        <w:tabs>
          <w:tab w:val="num" w:pos="3629"/>
        </w:tabs>
        <w:ind w:left="3629" w:hanging="1077"/>
      </w:pPr>
      <w:rPr>
        <w:rFonts w:hint="default"/>
      </w:rPr>
    </w:lvl>
    <w:lvl w:ilvl="4">
      <w:start w:val="1"/>
      <w:numFmt w:val="decimal"/>
      <w:lvlText w:val="%1.%2.%3.%4.%5."/>
      <w:lvlJc w:val="left"/>
      <w:pPr>
        <w:tabs>
          <w:tab w:val="num" w:pos="6124"/>
        </w:tabs>
        <w:ind w:left="6124" w:hanging="136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55" w15:restartNumberingAfterBreak="0">
    <w:nsid w:val="4F8D0EEE"/>
    <w:multiLevelType w:val="multilevel"/>
    <w:tmpl w:val="EA34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087F32"/>
    <w:multiLevelType w:val="multilevel"/>
    <w:tmpl w:val="DCF2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D2462C"/>
    <w:multiLevelType w:val="multilevel"/>
    <w:tmpl w:val="A304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2B70AB"/>
    <w:multiLevelType w:val="hybridMultilevel"/>
    <w:tmpl w:val="7C5C720E"/>
    <w:lvl w:ilvl="0" w:tplc="1CAC5FFA">
      <w:numFmt w:val="bullet"/>
      <w:lvlText w:val="-"/>
      <w:lvlJc w:val="left"/>
      <w:pPr>
        <w:ind w:left="720" w:hanging="360"/>
      </w:pPr>
      <w:rPr>
        <w:rFonts w:ascii="Segoe UI" w:eastAsia="Times New Roman" w:hAnsi="Segoe UI" w:cs="Segoe UI" w:hint="default"/>
        <w:sz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2460AC8"/>
    <w:multiLevelType w:val="multilevel"/>
    <w:tmpl w:val="A41C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DF6BB9"/>
    <w:multiLevelType w:val="multilevel"/>
    <w:tmpl w:val="90962DCE"/>
    <w:lvl w:ilvl="0">
      <w:start w:val="1"/>
      <w:numFmt w:val="decimal"/>
      <w:pStyle w:val="StdAgrLevel1"/>
      <w:lvlText w:val="%1"/>
      <w:lvlJc w:val="left"/>
      <w:pPr>
        <w:tabs>
          <w:tab w:val="num" w:pos="567"/>
        </w:tabs>
        <w:ind w:left="567" w:hanging="567"/>
      </w:pPr>
      <w:rPr>
        <w:rFonts w:ascii="Arial" w:hAnsi="Arial" w:hint="default"/>
        <w:b w:val="0"/>
        <w:i w:val="0"/>
        <w:sz w:val="22"/>
      </w:rPr>
    </w:lvl>
    <w:lvl w:ilvl="1">
      <w:start w:val="4"/>
      <w:numFmt w:val="decimal"/>
      <w:pStyle w:val="StdAgrLevel2"/>
      <w:lvlText w:val="%1.%2"/>
      <w:lvlJc w:val="left"/>
      <w:pPr>
        <w:tabs>
          <w:tab w:val="num" w:pos="1134"/>
        </w:tabs>
        <w:ind w:left="1134" w:hanging="1134"/>
      </w:pPr>
      <w:rPr>
        <w:rFonts w:ascii="Arial" w:hAnsi="Arial" w:hint="default"/>
        <w:b w:val="0"/>
        <w:i w:val="0"/>
        <w:sz w:val="22"/>
      </w:rPr>
    </w:lvl>
    <w:lvl w:ilvl="2">
      <w:start w:val="1"/>
      <w:numFmt w:val="decimal"/>
      <w:pStyle w:val="StdAgrLevel3"/>
      <w:lvlText w:val="%1.%2.%3"/>
      <w:lvlJc w:val="left"/>
      <w:pPr>
        <w:tabs>
          <w:tab w:val="num" w:pos="1701"/>
        </w:tabs>
        <w:ind w:left="1701" w:hanging="1701"/>
      </w:pPr>
      <w:rPr>
        <w:rFonts w:ascii="Arial" w:hAnsi="Arial" w:hint="default"/>
        <w:b w:val="0"/>
        <w:i w:val="0"/>
        <w:sz w:val="22"/>
      </w:rPr>
    </w:lvl>
    <w:lvl w:ilvl="3">
      <w:start w:val="1"/>
      <w:numFmt w:val="decimal"/>
      <w:pStyle w:val="StdAgrLevel4"/>
      <w:lvlText w:val="%1.%2.%3.%4"/>
      <w:lvlJc w:val="left"/>
      <w:pPr>
        <w:tabs>
          <w:tab w:val="num" w:pos="2268"/>
        </w:tabs>
        <w:ind w:left="2268" w:hanging="2268"/>
      </w:pPr>
      <w:rPr>
        <w:rFonts w:ascii="Arial" w:hAnsi="Arial" w:hint="default"/>
        <w:b w:val="0"/>
        <w:i w:val="0"/>
        <w:sz w:val="22"/>
      </w:rPr>
    </w:lvl>
    <w:lvl w:ilvl="4">
      <w:start w:val="1"/>
      <w:numFmt w:val="decimal"/>
      <w:pStyle w:val="StdAgrLevel5"/>
      <w:lvlText w:val="%1.%2.%3.%4.%5"/>
      <w:lvlJc w:val="left"/>
      <w:pPr>
        <w:tabs>
          <w:tab w:val="num" w:pos="2835"/>
        </w:tabs>
        <w:ind w:left="2835" w:hanging="2835"/>
      </w:pPr>
      <w:rPr>
        <w:rFonts w:ascii="Arial" w:hAnsi="Arial" w:hint="default"/>
        <w:b w:val="0"/>
        <w:i w:val="0"/>
        <w:sz w:val="22"/>
      </w:rPr>
    </w:lvl>
    <w:lvl w:ilvl="5">
      <w:start w:val="1"/>
      <w:numFmt w:val="decimal"/>
      <w:pStyle w:val="StdAgrLevel6"/>
      <w:lvlText w:val="%1.%2.%3.%4.%5.%6"/>
      <w:lvlJc w:val="left"/>
      <w:pPr>
        <w:tabs>
          <w:tab w:val="num" w:pos="3402"/>
        </w:tabs>
        <w:ind w:left="3402" w:hanging="3402"/>
      </w:pPr>
      <w:rPr>
        <w:rFonts w:ascii="Arial" w:hAnsi="Arial" w:hint="default"/>
        <w:b w:val="0"/>
        <w:i w:val="0"/>
        <w:sz w:val="22"/>
      </w:rPr>
    </w:lvl>
    <w:lvl w:ilvl="6">
      <w:start w:val="1"/>
      <w:numFmt w:val="decimal"/>
      <w:lvlText w:val="%1.%2.%3.%4.%5.%6.%7"/>
      <w:lvlJc w:val="left"/>
      <w:pPr>
        <w:tabs>
          <w:tab w:val="num" w:pos="3572"/>
        </w:tabs>
        <w:ind w:left="3572" w:hanging="3572"/>
      </w:pPr>
      <w:rPr>
        <w:rFonts w:hint="default"/>
      </w:rPr>
    </w:lvl>
    <w:lvl w:ilvl="7">
      <w:start w:val="1"/>
      <w:numFmt w:val="decimal"/>
      <w:lvlText w:val="%1.%2.%3.%4.%5.%6.%7.%8"/>
      <w:lvlJc w:val="left"/>
      <w:pPr>
        <w:tabs>
          <w:tab w:val="num" w:pos="4082"/>
        </w:tabs>
        <w:ind w:left="4082" w:hanging="4082"/>
      </w:pPr>
      <w:rPr>
        <w:rFonts w:hint="default"/>
      </w:rPr>
    </w:lvl>
    <w:lvl w:ilvl="8">
      <w:start w:val="1"/>
      <w:numFmt w:val="decimal"/>
      <w:lvlText w:val="%1.%2.%3.%4.%5.%6.%7.%8.%9"/>
      <w:lvlJc w:val="left"/>
      <w:pPr>
        <w:tabs>
          <w:tab w:val="num" w:pos="4593"/>
        </w:tabs>
        <w:ind w:left="4593" w:hanging="4593"/>
      </w:pPr>
      <w:rPr>
        <w:rFonts w:hint="default"/>
      </w:rPr>
    </w:lvl>
  </w:abstractNum>
  <w:abstractNum w:abstractNumId="61" w15:restartNumberingAfterBreak="0">
    <w:nsid w:val="541E47F9"/>
    <w:multiLevelType w:val="multilevel"/>
    <w:tmpl w:val="BECA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5A5B38"/>
    <w:multiLevelType w:val="multilevel"/>
    <w:tmpl w:val="479CC31A"/>
    <w:styleLink w:val="111111"/>
    <w:lvl w:ilvl="0">
      <w:start w:val="1"/>
      <w:numFmt w:val="decimal"/>
      <w:pStyle w:val="NumberingStyle"/>
      <w:lvlText w:val="%1."/>
      <w:lvlJc w:val="left"/>
      <w:pPr>
        <w:tabs>
          <w:tab w:val="num" w:pos="851"/>
        </w:tabs>
        <w:ind w:left="851" w:hanging="851"/>
      </w:pPr>
      <w:rPr>
        <w:rFonts w:hint="default"/>
        <w:color w:val="auto"/>
        <w:sz w:val="24"/>
      </w:rPr>
    </w:lvl>
    <w:lvl w:ilvl="1">
      <w:start w:val="1"/>
      <w:numFmt w:val="decimal"/>
      <w:lvlText w:val="%1.%2."/>
      <w:lvlJc w:val="left"/>
      <w:pPr>
        <w:tabs>
          <w:tab w:val="num" w:pos="1843"/>
        </w:tabs>
        <w:ind w:left="1843" w:hanging="992"/>
      </w:pPr>
      <w:rPr>
        <w:rFonts w:hint="default"/>
      </w:rPr>
    </w:lvl>
    <w:lvl w:ilvl="2">
      <w:start w:val="1"/>
      <w:numFmt w:val="decimal"/>
      <w:lvlText w:val="%1.%2.%3."/>
      <w:lvlJc w:val="left"/>
      <w:pPr>
        <w:tabs>
          <w:tab w:val="num" w:pos="2835"/>
        </w:tabs>
        <w:ind w:left="2835" w:hanging="992"/>
      </w:pPr>
      <w:rPr>
        <w:rFonts w:hint="default"/>
      </w:rPr>
    </w:lvl>
    <w:lvl w:ilvl="3">
      <w:start w:val="1"/>
      <w:numFmt w:val="decimal"/>
      <w:lvlText w:val="%1.%2.%3.%4."/>
      <w:lvlJc w:val="left"/>
      <w:pPr>
        <w:tabs>
          <w:tab w:val="num" w:pos="3969"/>
        </w:tabs>
        <w:ind w:left="3969" w:hanging="1134"/>
      </w:pPr>
      <w:rPr>
        <w:rFonts w:hint="default"/>
      </w:rPr>
    </w:lvl>
    <w:lvl w:ilvl="4">
      <w:start w:val="1"/>
      <w:numFmt w:val="decimal"/>
      <w:lvlText w:val="%1.%2.%3.%4.%5."/>
      <w:lvlJc w:val="left"/>
      <w:pPr>
        <w:tabs>
          <w:tab w:val="num" w:pos="5387"/>
        </w:tabs>
        <w:ind w:left="5387" w:hanging="1418"/>
      </w:pPr>
      <w:rPr>
        <w:rFonts w:hint="default"/>
      </w:rPr>
    </w:lvl>
    <w:lvl w:ilvl="5">
      <w:start w:val="1"/>
      <w:numFmt w:val="decimal"/>
      <w:lvlText w:val="%1.%2.%3.%4.%5.%6."/>
      <w:lvlJc w:val="left"/>
      <w:pPr>
        <w:tabs>
          <w:tab w:val="num" w:pos="6804"/>
        </w:tabs>
        <w:ind w:left="6804" w:hanging="141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63" w15:restartNumberingAfterBreak="0">
    <w:nsid w:val="546F6152"/>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4980029"/>
    <w:multiLevelType w:val="hybridMultilevel"/>
    <w:tmpl w:val="897023C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55BC55DD"/>
    <w:multiLevelType w:val="hybridMultilevel"/>
    <w:tmpl w:val="918E7F24"/>
    <w:lvl w:ilvl="0" w:tplc="261A2DE0">
      <w:start w:val="1"/>
      <w:numFmt w:val="decimal"/>
      <w:lvlText w:val="%1."/>
      <w:lvlJc w:val="left"/>
      <w:pPr>
        <w:ind w:left="1020" w:hanging="360"/>
      </w:pPr>
    </w:lvl>
    <w:lvl w:ilvl="1" w:tplc="51463A3C">
      <w:start w:val="1"/>
      <w:numFmt w:val="decimal"/>
      <w:lvlText w:val="%2."/>
      <w:lvlJc w:val="left"/>
      <w:pPr>
        <w:ind w:left="1020" w:hanging="360"/>
      </w:pPr>
    </w:lvl>
    <w:lvl w:ilvl="2" w:tplc="9024618E">
      <w:start w:val="1"/>
      <w:numFmt w:val="decimal"/>
      <w:lvlText w:val="%3."/>
      <w:lvlJc w:val="left"/>
      <w:pPr>
        <w:ind w:left="1020" w:hanging="360"/>
      </w:pPr>
    </w:lvl>
    <w:lvl w:ilvl="3" w:tplc="0C80DCB4">
      <w:start w:val="1"/>
      <w:numFmt w:val="decimal"/>
      <w:lvlText w:val="%4."/>
      <w:lvlJc w:val="left"/>
      <w:pPr>
        <w:ind w:left="1020" w:hanging="360"/>
      </w:pPr>
    </w:lvl>
    <w:lvl w:ilvl="4" w:tplc="83A4D2F6">
      <w:start w:val="1"/>
      <w:numFmt w:val="decimal"/>
      <w:lvlText w:val="%5."/>
      <w:lvlJc w:val="left"/>
      <w:pPr>
        <w:ind w:left="1020" w:hanging="360"/>
      </w:pPr>
    </w:lvl>
    <w:lvl w:ilvl="5" w:tplc="D4461D9E">
      <w:start w:val="1"/>
      <w:numFmt w:val="decimal"/>
      <w:lvlText w:val="%6."/>
      <w:lvlJc w:val="left"/>
      <w:pPr>
        <w:ind w:left="1020" w:hanging="360"/>
      </w:pPr>
    </w:lvl>
    <w:lvl w:ilvl="6" w:tplc="B7B8AABC">
      <w:start w:val="1"/>
      <w:numFmt w:val="decimal"/>
      <w:lvlText w:val="%7."/>
      <w:lvlJc w:val="left"/>
      <w:pPr>
        <w:ind w:left="1020" w:hanging="360"/>
      </w:pPr>
    </w:lvl>
    <w:lvl w:ilvl="7" w:tplc="74623B0A">
      <w:start w:val="1"/>
      <w:numFmt w:val="decimal"/>
      <w:lvlText w:val="%8."/>
      <w:lvlJc w:val="left"/>
      <w:pPr>
        <w:ind w:left="1020" w:hanging="360"/>
      </w:pPr>
    </w:lvl>
    <w:lvl w:ilvl="8" w:tplc="7C089A7E">
      <w:start w:val="1"/>
      <w:numFmt w:val="decimal"/>
      <w:lvlText w:val="%9."/>
      <w:lvlJc w:val="left"/>
      <w:pPr>
        <w:ind w:left="1020" w:hanging="360"/>
      </w:pPr>
    </w:lvl>
  </w:abstractNum>
  <w:abstractNum w:abstractNumId="66" w15:restartNumberingAfterBreak="0">
    <w:nsid w:val="56B51379"/>
    <w:multiLevelType w:val="multilevel"/>
    <w:tmpl w:val="78DA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F2450E"/>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8D82114"/>
    <w:multiLevelType w:val="multilevel"/>
    <w:tmpl w:val="7D64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BF750D5"/>
    <w:multiLevelType w:val="multilevel"/>
    <w:tmpl w:val="D03C074C"/>
    <w:styleLink w:val="StyleNumberedLeft063cmHanging063cm"/>
    <w:lvl w:ilvl="0">
      <w:start w:val="1"/>
      <w:numFmt w:val="decimal"/>
      <w:lvlText w:val="%1."/>
      <w:lvlJc w:val="left"/>
      <w:pPr>
        <w:tabs>
          <w:tab w:val="num" w:pos="720"/>
        </w:tabs>
        <w:ind w:left="720" w:hanging="360"/>
      </w:pPr>
      <w:rPr>
        <w:rFonts w:ascii="Arial" w:hAnsi="Arial" w:hint="default"/>
        <w:sz w:val="24"/>
      </w:r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5CE45FF1"/>
    <w:multiLevelType w:val="multilevel"/>
    <w:tmpl w:val="CE8A00B4"/>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4763"/>
        </w:tabs>
        <w:ind w:left="4763" w:hanging="116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71" w15:restartNumberingAfterBreak="0">
    <w:nsid w:val="5D0A2183"/>
    <w:multiLevelType w:val="multilevel"/>
    <w:tmpl w:val="A254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1A7A05"/>
    <w:multiLevelType w:val="hybridMultilevel"/>
    <w:tmpl w:val="AD564B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74" w15:restartNumberingAfterBreak="0">
    <w:nsid w:val="5E746123"/>
    <w:multiLevelType w:val="hybridMultilevel"/>
    <w:tmpl w:val="AB72CFE6"/>
    <w:lvl w:ilvl="0" w:tplc="2ABCE414">
      <w:start w:val="1"/>
      <w:numFmt w:val="decimal"/>
      <w:lvlText w:val="%1."/>
      <w:lvlJc w:val="left"/>
      <w:pPr>
        <w:ind w:left="1020" w:hanging="360"/>
      </w:pPr>
    </w:lvl>
    <w:lvl w:ilvl="1" w:tplc="7FB6FE2C">
      <w:start w:val="1"/>
      <w:numFmt w:val="decimal"/>
      <w:lvlText w:val="%2."/>
      <w:lvlJc w:val="left"/>
      <w:pPr>
        <w:ind w:left="1020" w:hanging="360"/>
      </w:pPr>
    </w:lvl>
    <w:lvl w:ilvl="2" w:tplc="687A6A46">
      <w:start w:val="1"/>
      <w:numFmt w:val="decimal"/>
      <w:lvlText w:val="%3."/>
      <w:lvlJc w:val="left"/>
      <w:pPr>
        <w:ind w:left="1020" w:hanging="360"/>
      </w:pPr>
    </w:lvl>
    <w:lvl w:ilvl="3" w:tplc="6D92EA6A">
      <w:start w:val="1"/>
      <w:numFmt w:val="decimal"/>
      <w:lvlText w:val="%4."/>
      <w:lvlJc w:val="left"/>
      <w:pPr>
        <w:ind w:left="1020" w:hanging="360"/>
      </w:pPr>
    </w:lvl>
    <w:lvl w:ilvl="4" w:tplc="832223C8">
      <w:start w:val="1"/>
      <w:numFmt w:val="decimal"/>
      <w:lvlText w:val="%5."/>
      <w:lvlJc w:val="left"/>
      <w:pPr>
        <w:ind w:left="1020" w:hanging="360"/>
      </w:pPr>
    </w:lvl>
    <w:lvl w:ilvl="5" w:tplc="0BB0A9AA">
      <w:start w:val="1"/>
      <w:numFmt w:val="decimal"/>
      <w:lvlText w:val="%6."/>
      <w:lvlJc w:val="left"/>
      <w:pPr>
        <w:ind w:left="1020" w:hanging="360"/>
      </w:pPr>
    </w:lvl>
    <w:lvl w:ilvl="6" w:tplc="8D081786">
      <w:start w:val="1"/>
      <w:numFmt w:val="decimal"/>
      <w:lvlText w:val="%7."/>
      <w:lvlJc w:val="left"/>
      <w:pPr>
        <w:ind w:left="1020" w:hanging="360"/>
      </w:pPr>
    </w:lvl>
    <w:lvl w:ilvl="7" w:tplc="D29AEECC">
      <w:start w:val="1"/>
      <w:numFmt w:val="decimal"/>
      <w:lvlText w:val="%8."/>
      <w:lvlJc w:val="left"/>
      <w:pPr>
        <w:ind w:left="1020" w:hanging="360"/>
      </w:pPr>
    </w:lvl>
    <w:lvl w:ilvl="8" w:tplc="974A83D6">
      <w:start w:val="1"/>
      <w:numFmt w:val="decimal"/>
      <w:lvlText w:val="%9."/>
      <w:lvlJc w:val="left"/>
      <w:pPr>
        <w:ind w:left="1020" w:hanging="360"/>
      </w:pPr>
    </w:lvl>
  </w:abstractNum>
  <w:abstractNum w:abstractNumId="75" w15:restartNumberingAfterBreak="0">
    <w:nsid w:val="62620792"/>
    <w:multiLevelType w:val="hybridMultilevel"/>
    <w:tmpl w:val="EA3815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3F925D0"/>
    <w:multiLevelType w:val="multilevel"/>
    <w:tmpl w:val="5D6A082C"/>
    <w:lvl w:ilvl="0">
      <w:start w:val="1"/>
      <w:numFmt w:val="decimal"/>
      <w:pStyle w:val="DA1"/>
      <w:lvlText w:val="%1"/>
      <w:lvlJc w:val="left"/>
      <w:pPr>
        <w:ind w:left="4196" w:hanging="510"/>
      </w:pPr>
      <w:rPr>
        <w:rFonts w:ascii="Arial" w:eastAsia="Arial" w:hAnsi="Arial" w:cs="Arial"/>
        <w:b w:val="0"/>
        <w:i w:val="0"/>
        <w:sz w:val="22"/>
        <w:szCs w:val="22"/>
      </w:rPr>
    </w:lvl>
    <w:lvl w:ilvl="1">
      <w:start w:val="1"/>
      <w:numFmt w:val="decimal"/>
      <w:pStyle w:val="DA2"/>
      <w:lvlText w:val="%1.%2"/>
      <w:lvlJc w:val="left"/>
      <w:pPr>
        <w:ind w:left="1021" w:hanging="1021"/>
      </w:pPr>
      <w:rPr>
        <w:rFonts w:ascii="Arial" w:eastAsia="Arial" w:hAnsi="Arial" w:cs="Arial"/>
        <w:b w:val="0"/>
        <w:i w:val="0"/>
        <w:sz w:val="22"/>
        <w:szCs w:val="22"/>
      </w:rPr>
    </w:lvl>
    <w:lvl w:ilvl="2">
      <w:start w:val="1"/>
      <w:numFmt w:val="decimal"/>
      <w:pStyle w:val="DA3"/>
      <w:lvlText w:val="%1.%2.%3"/>
      <w:lvlJc w:val="left"/>
      <w:pPr>
        <w:ind w:left="1531" w:hanging="1531"/>
      </w:pPr>
      <w:rPr>
        <w:rFonts w:ascii="Arial" w:eastAsia="Arial" w:hAnsi="Arial" w:cs="Arial"/>
        <w:b w:val="0"/>
        <w:i w:val="0"/>
        <w:sz w:val="22"/>
        <w:szCs w:val="22"/>
      </w:rPr>
    </w:lvl>
    <w:lvl w:ilvl="3">
      <w:start w:val="1"/>
      <w:numFmt w:val="decimal"/>
      <w:pStyle w:val="DA4"/>
      <w:lvlText w:val="%1.%2.%3.%4"/>
      <w:lvlJc w:val="left"/>
      <w:pPr>
        <w:ind w:left="2041" w:hanging="2041"/>
      </w:pPr>
      <w:rPr>
        <w:rFonts w:ascii="Arial" w:eastAsia="Arial" w:hAnsi="Arial" w:cs="Arial"/>
        <w:b w:val="0"/>
        <w:i w:val="0"/>
        <w:sz w:val="22"/>
        <w:szCs w:val="22"/>
      </w:rPr>
    </w:lvl>
    <w:lvl w:ilvl="4">
      <w:start w:val="1"/>
      <w:numFmt w:val="decimal"/>
      <w:pStyle w:val="DA5"/>
      <w:lvlText w:val="%1.%2.%3.%4.%5"/>
      <w:lvlJc w:val="left"/>
      <w:pPr>
        <w:ind w:left="2552" w:hanging="2552"/>
      </w:pPr>
      <w:rPr>
        <w:rFonts w:ascii="Arial" w:eastAsia="Arial" w:hAnsi="Arial" w:cs="Arial"/>
        <w:b w:val="0"/>
        <w:i w:val="0"/>
        <w:sz w:val="22"/>
        <w:szCs w:val="22"/>
      </w:rPr>
    </w:lvl>
    <w:lvl w:ilvl="5">
      <w:start w:val="1"/>
      <w:numFmt w:val="decimal"/>
      <w:lvlText w:val="%1.%2.%3.%4.%5.%6"/>
      <w:lvlJc w:val="left"/>
      <w:pPr>
        <w:ind w:left="3062" w:hanging="3062"/>
      </w:pPr>
      <w:rPr>
        <w:rFonts w:ascii="Arial" w:eastAsia="Arial" w:hAnsi="Arial" w:cs="Arial"/>
        <w:b w:val="0"/>
        <w:i w:val="0"/>
        <w:sz w:val="22"/>
        <w:szCs w:val="22"/>
      </w:rPr>
    </w:lvl>
    <w:lvl w:ilvl="6">
      <w:start w:val="1"/>
      <w:numFmt w:val="decimal"/>
      <w:lvlText w:val="%1.%2.%3.%4.%5.%6.%7"/>
      <w:lvlJc w:val="left"/>
      <w:pPr>
        <w:ind w:left="3572" w:hanging="3572"/>
      </w:pPr>
      <w:rPr>
        <w:rFonts w:ascii="Verdana" w:eastAsia="Verdana" w:hAnsi="Verdana" w:cs="Verdana"/>
        <w:b w:val="0"/>
        <w:i w:val="0"/>
        <w:sz w:val="20"/>
        <w:szCs w:val="20"/>
      </w:rPr>
    </w:lvl>
    <w:lvl w:ilvl="7">
      <w:start w:val="1"/>
      <w:numFmt w:val="decimal"/>
      <w:lvlText w:val="%1.%2.%3.%4.%5.%6.%7.%8"/>
      <w:lvlJc w:val="left"/>
      <w:pPr>
        <w:ind w:left="4082" w:hanging="4082"/>
      </w:pPr>
      <w:rPr>
        <w:rFonts w:ascii="Verdana" w:eastAsia="Verdana" w:hAnsi="Verdana" w:cs="Verdana"/>
        <w:b w:val="0"/>
        <w:i w:val="0"/>
        <w:sz w:val="20"/>
        <w:szCs w:val="20"/>
      </w:rPr>
    </w:lvl>
    <w:lvl w:ilvl="8">
      <w:start w:val="1"/>
      <w:numFmt w:val="decimal"/>
      <w:lvlText w:val="%1.%2.%3.%4.%5.%6.%7.%8.%9"/>
      <w:lvlJc w:val="left"/>
      <w:pPr>
        <w:ind w:left="4593" w:hanging="4593"/>
      </w:pPr>
      <w:rPr>
        <w:rFonts w:ascii="Verdana" w:eastAsia="Verdana" w:hAnsi="Verdana" w:cs="Verdana"/>
        <w:b w:val="0"/>
        <w:i w:val="0"/>
        <w:sz w:val="20"/>
        <w:szCs w:val="20"/>
      </w:rPr>
    </w:lvl>
  </w:abstractNum>
  <w:abstractNum w:abstractNumId="77" w15:restartNumberingAfterBreak="0">
    <w:nsid w:val="692867B4"/>
    <w:multiLevelType w:val="multilevel"/>
    <w:tmpl w:val="4C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047006"/>
    <w:multiLevelType w:val="multilevel"/>
    <w:tmpl w:val="ED22E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05141D"/>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E946149"/>
    <w:multiLevelType w:val="hybridMultilevel"/>
    <w:tmpl w:val="EF3A3BB6"/>
    <w:lvl w:ilvl="0" w:tplc="3AC89E5E">
      <w:start w:val="1"/>
      <w:numFmt w:val="lowerLetter"/>
      <w:lvlText w:val="%1)"/>
      <w:lvlJc w:val="left"/>
      <w:pPr>
        <w:ind w:left="720" w:hanging="360"/>
      </w:pPr>
    </w:lvl>
    <w:lvl w:ilvl="1" w:tplc="FCB689A0">
      <w:start w:val="1"/>
      <w:numFmt w:val="lowerLetter"/>
      <w:lvlText w:val="%2)"/>
      <w:lvlJc w:val="left"/>
      <w:pPr>
        <w:ind w:left="720" w:hanging="360"/>
      </w:pPr>
    </w:lvl>
    <w:lvl w:ilvl="2" w:tplc="4134E270">
      <w:start w:val="1"/>
      <w:numFmt w:val="lowerLetter"/>
      <w:lvlText w:val="%3)"/>
      <w:lvlJc w:val="left"/>
      <w:pPr>
        <w:ind w:left="720" w:hanging="360"/>
      </w:pPr>
    </w:lvl>
    <w:lvl w:ilvl="3" w:tplc="7A1C0EF0">
      <w:start w:val="1"/>
      <w:numFmt w:val="lowerLetter"/>
      <w:lvlText w:val="%4)"/>
      <w:lvlJc w:val="left"/>
      <w:pPr>
        <w:ind w:left="720" w:hanging="360"/>
      </w:pPr>
    </w:lvl>
    <w:lvl w:ilvl="4" w:tplc="55502EB8">
      <w:start w:val="1"/>
      <w:numFmt w:val="lowerLetter"/>
      <w:lvlText w:val="%5)"/>
      <w:lvlJc w:val="left"/>
      <w:pPr>
        <w:ind w:left="720" w:hanging="360"/>
      </w:pPr>
    </w:lvl>
    <w:lvl w:ilvl="5" w:tplc="A6C6A79C">
      <w:start w:val="1"/>
      <w:numFmt w:val="lowerLetter"/>
      <w:lvlText w:val="%6)"/>
      <w:lvlJc w:val="left"/>
      <w:pPr>
        <w:ind w:left="720" w:hanging="360"/>
      </w:pPr>
    </w:lvl>
    <w:lvl w:ilvl="6" w:tplc="88A23FD2">
      <w:start w:val="1"/>
      <w:numFmt w:val="lowerLetter"/>
      <w:lvlText w:val="%7)"/>
      <w:lvlJc w:val="left"/>
      <w:pPr>
        <w:ind w:left="720" w:hanging="360"/>
      </w:pPr>
    </w:lvl>
    <w:lvl w:ilvl="7" w:tplc="C47EB82C">
      <w:start w:val="1"/>
      <w:numFmt w:val="lowerLetter"/>
      <w:lvlText w:val="%8)"/>
      <w:lvlJc w:val="left"/>
      <w:pPr>
        <w:ind w:left="720" w:hanging="360"/>
      </w:pPr>
    </w:lvl>
    <w:lvl w:ilvl="8" w:tplc="F7E00AB6">
      <w:start w:val="1"/>
      <w:numFmt w:val="lowerLetter"/>
      <w:lvlText w:val="%9)"/>
      <w:lvlJc w:val="left"/>
      <w:pPr>
        <w:ind w:left="720" w:hanging="360"/>
      </w:pPr>
    </w:lvl>
  </w:abstractNum>
  <w:abstractNum w:abstractNumId="81" w15:restartNumberingAfterBreak="0">
    <w:nsid w:val="710523ED"/>
    <w:multiLevelType w:val="multilevel"/>
    <w:tmpl w:val="C6CC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2810850"/>
    <w:multiLevelType w:val="hybridMultilevel"/>
    <w:tmpl w:val="10A2731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7396054B"/>
    <w:multiLevelType w:val="multilevel"/>
    <w:tmpl w:val="7B2A661A"/>
    <w:lvl w:ilvl="0">
      <w:start w:val="1"/>
      <w:numFmt w:val="decimal"/>
      <w:lvlText w:val="%1."/>
      <w:lvlJc w:val="left"/>
      <w:pPr>
        <w:ind w:left="360" w:hanging="360"/>
      </w:pPr>
      <w:rPr>
        <w:rFonts w:hint="default"/>
        <w:b/>
        <w:i/>
        <w:u w:val="none"/>
      </w:rPr>
    </w:lvl>
    <w:lvl w:ilvl="1">
      <w:start w:val="1"/>
      <w:numFmt w:val="decimal"/>
      <w:lvlText w:val="%1.%2."/>
      <w:lvlJc w:val="left"/>
      <w:pPr>
        <w:ind w:left="858" w:hanging="432"/>
      </w:pPr>
      <w:rPr>
        <w:rFonts w:hint="default"/>
        <w:b w:val="0"/>
        <w:i w:val="0"/>
        <w:color w:val="000000" w:themeColor="text1"/>
        <w:sz w:val="24"/>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4BF0694"/>
    <w:multiLevelType w:val="multilevel"/>
    <w:tmpl w:val="D292CAD0"/>
    <w:lvl w:ilvl="0">
      <w:start w:val="7"/>
      <w:numFmt w:val="decimal"/>
      <w:lvlText w:val="%1."/>
      <w:lvlJc w:val="left"/>
      <w:pPr>
        <w:ind w:left="709" w:hanging="709"/>
      </w:pPr>
      <w:rPr>
        <w:rFonts w:cs="Times New Roman" w:hint="default"/>
      </w:rPr>
    </w:lvl>
    <w:lvl w:ilvl="1">
      <w:start w:val="1"/>
      <w:numFmt w:val="decimal"/>
      <w:lvlText w:val="%1.%2."/>
      <w:lvlJc w:val="left"/>
      <w:pPr>
        <w:ind w:left="851" w:hanging="142"/>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Text w:val="%1.%2.%3."/>
      <w:lvlJc w:val="left"/>
      <w:pPr>
        <w:ind w:left="2552" w:hanging="993"/>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ind w:left="3544" w:hanging="992"/>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lvlText w:val="%1.%2.%3.%4.%5."/>
      <w:lvlJc w:val="left"/>
      <w:pPr>
        <w:ind w:left="4678" w:hanging="1134"/>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decimal"/>
      <w:pStyle w:val="DA6SixthLevelNumbering"/>
      <w:lvlText w:val="%1.%2.%3.%4.%5.%6."/>
      <w:lvlJc w:val="left"/>
      <w:pPr>
        <w:ind w:left="5954" w:hanging="1276"/>
      </w:pPr>
      <w:rPr>
        <w:rFonts w:cs="Times New Roman" w:hint="default"/>
      </w:rPr>
    </w:lvl>
    <w:lvl w:ilvl="6">
      <w:start w:val="1"/>
      <w:numFmt w:val="decimal"/>
      <w:pStyle w:val="DA7SeventhLevelNumbering"/>
      <w:lvlText w:val="%1.%2.%3.%4.%5.%6.%7."/>
      <w:lvlJc w:val="left"/>
      <w:pPr>
        <w:ind w:left="6237" w:hanging="1417"/>
      </w:pPr>
      <w:rPr>
        <w:rFonts w:cs="Times New Roman" w:hint="default"/>
      </w:rPr>
    </w:lvl>
    <w:lvl w:ilvl="7">
      <w:start w:val="1"/>
      <w:numFmt w:val="decimal"/>
      <w:pStyle w:val="DA8EighthLevelNumbering"/>
      <w:lvlText w:val="%1.%2.%3.%4.%5.%6.%7.%8."/>
      <w:lvlJc w:val="left"/>
      <w:pPr>
        <w:ind w:left="6379" w:hanging="1559"/>
      </w:pPr>
      <w:rPr>
        <w:rFonts w:cs="Times New Roman" w:hint="default"/>
      </w:rPr>
    </w:lvl>
    <w:lvl w:ilvl="8">
      <w:start w:val="1"/>
      <w:numFmt w:val="decimal"/>
      <w:pStyle w:val="DA9NinthLevelNumbering"/>
      <w:lvlText w:val="%1.%2.%3.%4.%5.%6.%7.%8.%9."/>
      <w:lvlJc w:val="left"/>
      <w:pPr>
        <w:ind w:left="6521" w:hanging="1701"/>
      </w:pPr>
      <w:rPr>
        <w:rFonts w:cs="Times New Roman" w:hint="default"/>
      </w:rPr>
    </w:lvl>
  </w:abstractNum>
  <w:abstractNum w:abstractNumId="85" w15:restartNumberingAfterBreak="0">
    <w:nsid w:val="75E46E18"/>
    <w:multiLevelType w:val="hybridMultilevel"/>
    <w:tmpl w:val="AC246BC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6" w15:restartNumberingAfterBreak="0">
    <w:nsid w:val="75FF09E9"/>
    <w:multiLevelType w:val="multilevel"/>
    <w:tmpl w:val="C5A8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1C3808"/>
    <w:multiLevelType w:val="hybridMultilevel"/>
    <w:tmpl w:val="92D439C8"/>
    <w:lvl w:ilvl="0" w:tplc="3CD06676">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8" w15:restartNumberingAfterBreak="0">
    <w:nsid w:val="782D1795"/>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A6669FD"/>
    <w:multiLevelType w:val="multilevel"/>
    <w:tmpl w:val="506006C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E8E5AC8"/>
    <w:multiLevelType w:val="multilevel"/>
    <w:tmpl w:val="FA8A4A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960948">
    <w:abstractNumId w:val="0"/>
  </w:num>
  <w:num w:numId="2" w16cid:durableId="1214776885">
    <w:abstractNumId w:val="62"/>
  </w:num>
  <w:num w:numId="3" w16cid:durableId="846791507">
    <w:abstractNumId w:val="69"/>
  </w:num>
  <w:num w:numId="4" w16cid:durableId="1066760334">
    <w:abstractNumId w:val="24"/>
  </w:num>
  <w:num w:numId="5" w16cid:durableId="1553887168">
    <w:abstractNumId w:val="22"/>
  </w:num>
  <w:num w:numId="6" w16cid:durableId="1072237563">
    <w:abstractNumId w:val="73"/>
  </w:num>
  <w:num w:numId="7" w16cid:durableId="604776183">
    <w:abstractNumId w:val="6"/>
  </w:num>
  <w:num w:numId="8" w16cid:durableId="1854567285">
    <w:abstractNumId w:val="70"/>
  </w:num>
  <w:num w:numId="9" w16cid:durableId="933320666">
    <w:abstractNumId w:val="54"/>
  </w:num>
  <w:num w:numId="10" w16cid:durableId="1197039928">
    <w:abstractNumId w:val="60"/>
  </w:num>
  <w:num w:numId="11" w16cid:durableId="1155341570">
    <w:abstractNumId w:val="84"/>
  </w:num>
  <w:num w:numId="12" w16cid:durableId="620646982">
    <w:abstractNumId w:val="84"/>
  </w:num>
  <w:num w:numId="13" w16cid:durableId="11172596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793175">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749748">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8395477">
    <w:abstractNumId w:val="87"/>
  </w:num>
  <w:num w:numId="17" w16cid:durableId="879131302">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640944">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2195985">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4586830">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9514225">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5247932">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993763">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6373115">
    <w:abstractNumId w:val="84"/>
  </w:num>
  <w:num w:numId="25" w16cid:durableId="991954862">
    <w:abstractNumId w:val="84"/>
  </w:num>
  <w:num w:numId="26" w16cid:durableId="1814904777">
    <w:abstractNumId w:val="8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92671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0412196">
    <w:abstractNumId w:val="84"/>
  </w:num>
  <w:num w:numId="29" w16cid:durableId="1044328873">
    <w:abstractNumId w:val="84"/>
  </w:num>
  <w:num w:numId="30" w16cid:durableId="733545675">
    <w:abstractNumId w:val="24"/>
  </w:num>
  <w:num w:numId="31" w16cid:durableId="1516965635">
    <w:abstractNumId w:val="24"/>
  </w:num>
  <w:num w:numId="32" w16cid:durableId="1126313836">
    <w:abstractNumId w:val="24"/>
  </w:num>
  <w:num w:numId="33" w16cid:durableId="889460646">
    <w:abstractNumId w:val="24"/>
  </w:num>
  <w:num w:numId="34" w16cid:durableId="1111363011">
    <w:abstractNumId w:val="24"/>
  </w:num>
  <w:num w:numId="35" w16cid:durableId="1151555965">
    <w:abstractNumId w:val="24"/>
  </w:num>
  <w:num w:numId="36" w16cid:durableId="1104770029">
    <w:abstractNumId w:val="24"/>
  </w:num>
  <w:num w:numId="37" w16cid:durableId="955216474">
    <w:abstractNumId w:val="24"/>
  </w:num>
  <w:num w:numId="38" w16cid:durableId="1703241703">
    <w:abstractNumId w:val="24"/>
  </w:num>
  <w:num w:numId="39" w16cid:durableId="1251621229">
    <w:abstractNumId w:val="24"/>
  </w:num>
  <w:num w:numId="40" w16cid:durableId="1923105537">
    <w:abstractNumId w:val="24"/>
  </w:num>
  <w:num w:numId="41" w16cid:durableId="1862861775">
    <w:abstractNumId w:val="76"/>
  </w:num>
  <w:num w:numId="42" w16cid:durableId="16759164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16824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3954689">
    <w:abstractNumId w:val="5"/>
  </w:num>
  <w:num w:numId="45" w16cid:durableId="514006208">
    <w:abstractNumId w:val="26"/>
  </w:num>
  <w:num w:numId="46" w16cid:durableId="1866938107">
    <w:abstractNumId w:val="44"/>
  </w:num>
  <w:num w:numId="47" w16cid:durableId="807017570">
    <w:abstractNumId w:val="83"/>
  </w:num>
  <w:num w:numId="48" w16cid:durableId="273054183">
    <w:abstractNumId w:val="23"/>
  </w:num>
  <w:num w:numId="49" w16cid:durableId="1109277115">
    <w:abstractNumId w:val="79"/>
  </w:num>
  <w:num w:numId="50" w16cid:durableId="580220298">
    <w:abstractNumId w:val="63"/>
  </w:num>
  <w:num w:numId="51" w16cid:durableId="404571503">
    <w:abstractNumId w:val="67"/>
  </w:num>
  <w:num w:numId="52" w16cid:durableId="2058309890">
    <w:abstractNumId w:val="75"/>
  </w:num>
  <w:num w:numId="53" w16cid:durableId="608858881">
    <w:abstractNumId w:val="43"/>
  </w:num>
  <w:num w:numId="54" w16cid:durableId="1827937297">
    <w:abstractNumId w:val="28"/>
  </w:num>
  <w:num w:numId="55" w16cid:durableId="76485321">
    <w:abstractNumId w:val="30"/>
  </w:num>
  <w:num w:numId="56" w16cid:durableId="1769499696">
    <w:abstractNumId w:val="52"/>
  </w:num>
  <w:num w:numId="57" w16cid:durableId="1570965692">
    <w:abstractNumId w:val="21"/>
  </w:num>
  <w:num w:numId="58" w16cid:durableId="1143615805">
    <w:abstractNumId w:val="13"/>
  </w:num>
  <w:num w:numId="59" w16cid:durableId="1477186940">
    <w:abstractNumId w:val="88"/>
  </w:num>
  <w:num w:numId="60" w16cid:durableId="1003705807">
    <w:abstractNumId w:val="89"/>
  </w:num>
  <w:num w:numId="61" w16cid:durableId="1495339235">
    <w:abstractNumId w:val="29"/>
  </w:num>
  <w:num w:numId="62" w16cid:durableId="815218230">
    <w:abstractNumId w:val="17"/>
  </w:num>
  <w:num w:numId="63" w16cid:durableId="1923174062">
    <w:abstractNumId w:val="49"/>
  </w:num>
  <w:num w:numId="64" w16cid:durableId="757140822">
    <w:abstractNumId w:val="14"/>
  </w:num>
  <w:num w:numId="65" w16cid:durableId="424426008">
    <w:abstractNumId w:val="8"/>
  </w:num>
  <w:num w:numId="66" w16cid:durableId="1275673154">
    <w:abstractNumId w:val="42"/>
  </w:num>
  <w:num w:numId="67" w16cid:durableId="1700352763">
    <w:abstractNumId w:val="53"/>
  </w:num>
  <w:num w:numId="68" w16cid:durableId="714038771">
    <w:abstractNumId w:val="39"/>
  </w:num>
  <w:num w:numId="69" w16cid:durableId="1581136478">
    <w:abstractNumId w:val="85"/>
  </w:num>
  <w:num w:numId="70" w16cid:durableId="528491339">
    <w:abstractNumId w:val="82"/>
  </w:num>
  <w:num w:numId="71" w16cid:durableId="1455900130">
    <w:abstractNumId w:val="64"/>
  </w:num>
  <w:num w:numId="72" w16cid:durableId="841774951">
    <w:abstractNumId w:val="46"/>
    <w:lvlOverride w:ilvl="0">
      <w:lvl w:ilvl="0">
        <w:numFmt w:val="lowerLetter"/>
        <w:lvlText w:val="%1."/>
        <w:lvlJc w:val="left"/>
      </w:lvl>
    </w:lvlOverride>
  </w:num>
  <w:num w:numId="73" w16cid:durableId="1169566455">
    <w:abstractNumId w:val="34"/>
  </w:num>
  <w:num w:numId="74" w16cid:durableId="145586081">
    <w:abstractNumId w:val="20"/>
    <w:lvlOverride w:ilvl="0">
      <w:lvl w:ilvl="0">
        <w:numFmt w:val="lowerLetter"/>
        <w:lvlText w:val="%1."/>
        <w:lvlJc w:val="left"/>
      </w:lvl>
    </w:lvlOverride>
  </w:num>
  <w:num w:numId="75" w16cid:durableId="1738090874">
    <w:abstractNumId w:val="57"/>
    <w:lvlOverride w:ilvl="0">
      <w:lvl w:ilvl="0">
        <w:numFmt w:val="lowerLetter"/>
        <w:lvlText w:val="%1."/>
        <w:lvlJc w:val="left"/>
      </w:lvl>
    </w:lvlOverride>
  </w:num>
  <w:num w:numId="76" w16cid:durableId="1343508291">
    <w:abstractNumId w:val="58"/>
  </w:num>
  <w:num w:numId="77" w16cid:durableId="319189412">
    <w:abstractNumId w:val="31"/>
  </w:num>
  <w:num w:numId="78" w16cid:durableId="561252563">
    <w:abstractNumId w:val="80"/>
  </w:num>
  <w:num w:numId="79" w16cid:durableId="1925062851">
    <w:abstractNumId w:val="68"/>
    <w:lvlOverride w:ilvl="0">
      <w:lvl w:ilvl="0">
        <w:numFmt w:val="lowerLetter"/>
        <w:lvlText w:val="%1."/>
        <w:lvlJc w:val="left"/>
      </w:lvl>
    </w:lvlOverride>
  </w:num>
  <w:num w:numId="80" w16cid:durableId="793063760">
    <w:abstractNumId w:val="15"/>
    <w:lvlOverride w:ilvl="0">
      <w:lvl w:ilvl="0">
        <w:numFmt w:val="lowerLetter"/>
        <w:lvlText w:val="%1."/>
        <w:lvlJc w:val="left"/>
      </w:lvl>
    </w:lvlOverride>
  </w:num>
  <w:num w:numId="81" w16cid:durableId="525825481">
    <w:abstractNumId w:val="33"/>
    <w:lvlOverride w:ilvl="0">
      <w:lvl w:ilvl="0">
        <w:numFmt w:val="lowerLetter"/>
        <w:lvlText w:val="%1."/>
        <w:lvlJc w:val="left"/>
      </w:lvl>
    </w:lvlOverride>
  </w:num>
  <w:num w:numId="82" w16cid:durableId="1743486469">
    <w:abstractNumId w:val="55"/>
    <w:lvlOverride w:ilvl="0">
      <w:lvl w:ilvl="0">
        <w:numFmt w:val="lowerLetter"/>
        <w:lvlText w:val="%1."/>
        <w:lvlJc w:val="left"/>
      </w:lvl>
    </w:lvlOverride>
  </w:num>
  <w:num w:numId="83" w16cid:durableId="1727683272">
    <w:abstractNumId w:val="36"/>
  </w:num>
  <w:num w:numId="84" w16cid:durableId="1134181728">
    <w:abstractNumId w:val="51"/>
  </w:num>
  <w:num w:numId="85" w16cid:durableId="1592592029">
    <w:abstractNumId w:val="2"/>
    <w:lvlOverride w:ilvl="0">
      <w:lvl w:ilvl="0">
        <w:numFmt w:val="lowerLetter"/>
        <w:lvlText w:val="%1."/>
        <w:lvlJc w:val="left"/>
      </w:lvl>
    </w:lvlOverride>
  </w:num>
  <w:num w:numId="86" w16cid:durableId="954025601">
    <w:abstractNumId w:val="48"/>
    <w:lvlOverride w:ilvl="0">
      <w:lvl w:ilvl="0">
        <w:numFmt w:val="lowerLetter"/>
        <w:lvlText w:val="%1."/>
        <w:lvlJc w:val="left"/>
      </w:lvl>
    </w:lvlOverride>
  </w:num>
  <w:num w:numId="87" w16cid:durableId="906651869">
    <w:abstractNumId w:val="48"/>
    <w:lvlOverride w:ilvl="0">
      <w:lvl w:ilvl="0">
        <w:numFmt w:val="lowerLetter"/>
        <w:lvlText w:val="%1."/>
        <w:lvlJc w:val="left"/>
      </w:lvl>
    </w:lvlOverride>
  </w:num>
  <w:num w:numId="88" w16cid:durableId="942151715">
    <w:abstractNumId w:val="66"/>
    <w:lvlOverride w:ilvl="0">
      <w:lvl w:ilvl="0">
        <w:numFmt w:val="lowerLetter"/>
        <w:lvlText w:val="%1."/>
        <w:lvlJc w:val="left"/>
      </w:lvl>
    </w:lvlOverride>
  </w:num>
  <w:num w:numId="89" w16cid:durableId="496574794">
    <w:abstractNumId w:val="9"/>
    <w:lvlOverride w:ilvl="0">
      <w:lvl w:ilvl="0">
        <w:numFmt w:val="lowerLetter"/>
        <w:lvlText w:val="%1."/>
        <w:lvlJc w:val="left"/>
      </w:lvl>
    </w:lvlOverride>
  </w:num>
  <w:num w:numId="90" w16cid:durableId="1485122312">
    <w:abstractNumId w:val="35"/>
    <w:lvlOverride w:ilvl="0">
      <w:lvl w:ilvl="0">
        <w:numFmt w:val="lowerLetter"/>
        <w:lvlText w:val="%1."/>
        <w:lvlJc w:val="left"/>
      </w:lvl>
    </w:lvlOverride>
  </w:num>
  <w:num w:numId="91" w16cid:durableId="2022776902">
    <w:abstractNumId w:val="50"/>
    <w:lvlOverride w:ilvl="0">
      <w:lvl w:ilvl="0">
        <w:numFmt w:val="lowerLetter"/>
        <w:lvlText w:val="%1."/>
        <w:lvlJc w:val="left"/>
      </w:lvl>
    </w:lvlOverride>
  </w:num>
  <w:num w:numId="92" w16cid:durableId="1860705291">
    <w:abstractNumId w:val="40"/>
    <w:lvlOverride w:ilvl="0">
      <w:lvl w:ilvl="0">
        <w:numFmt w:val="lowerLetter"/>
        <w:lvlText w:val="%1."/>
        <w:lvlJc w:val="left"/>
      </w:lvl>
    </w:lvlOverride>
  </w:num>
  <w:num w:numId="93" w16cid:durableId="592784960">
    <w:abstractNumId w:val="11"/>
    <w:lvlOverride w:ilvl="0">
      <w:lvl w:ilvl="0">
        <w:numFmt w:val="lowerLetter"/>
        <w:lvlText w:val="%1."/>
        <w:lvlJc w:val="left"/>
      </w:lvl>
    </w:lvlOverride>
  </w:num>
  <w:num w:numId="94" w16cid:durableId="1776562093">
    <w:abstractNumId w:val="41"/>
    <w:lvlOverride w:ilvl="0">
      <w:lvl w:ilvl="0">
        <w:numFmt w:val="lowerLetter"/>
        <w:lvlText w:val="%1."/>
        <w:lvlJc w:val="left"/>
      </w:lvl>
    </w:lvlOverride>
  </w:num>
  <w:num w:numId="95" w16cid:durableId="789714020">
    <w:abstractNumId w:val="19"/>
    <w:lvlOverride w:ilvl="0">
      <w:lvl w:ilvl="0">
        <w:numFmt w:val="lowerLetter"/>
        <w:lvlText w:val="%1."/>
        <w:lvlJc w:val="left"/>
      </w:lvl>
    </w:lvlOverride>
  </w:num>
  <w:num w:numId="96" w16cid:durableId="28266418">
    <w:abstractNumId w:val="10"/>
    <w:lvlOverride w:ilvl="0">
      <w:lvl w:ilvl="0">
        <w:numFmt w:val="lowerLetter"/>
        <w:lvlText w:val="%1."/>
        <w:lvlJc w:val="left"/>
      </w:lvl>
    </w:lvlOverride>
  </w:num>
  <w:num w:numId="97" w16cid:durableId="268244853">
    <w:abstractNumId w:val="78"/>
    <w:lvlOverride w:ilvl="0">
      <w:lvl w:ilvl="0">
        <w:numFmt w:val="lowerLetter"/>
        <w:lvlText w:val="%1."/>
        <w:lvlJc w:val="left"/>
      </w:lvl>
    </w:lvlOverride>
  </w:num>
  <w:num w:numId="98" w16cid:durableId="1857619255">
    <w:abstractNumId w:val="12"/>
    <w:lvlOverride w:ilvl="0">
      <w:lvl w:ilvl="0">
        <w:numFmt w:val="lowerLetter"/>
        <w:lvlText w:val="%1."/>
        <w:lvlJc w:val="left"/>
      </w:lvl>
    </w:lvlOverride>
  </w:num>
  <w:num w:numId="99" w16cid:durableId="1788771102">
    <w:abstractNumId w:val="71"/>
    <w:lvlOverride w:ilvl="0">
      <w:lvl w:ilvl="0">
        <w:numFmt w:val="lowerLetter"/>
        <w:lvlText w:val="%1."/>
        <w:lvlJc w:val="left"/>
      </w:lvl>
    </w:lvlOverride>
  </w:num>
  <w:num w:numId="100" w16cid:durableId="1206992">
    <w:abstractNumId w:val="27"/>
    <w:lvlOverride w:ilvl="0">
      <w:lvl w:ilvl="0">
        <w:numFmt w:val="lowerLetter"/>
        <w:lvlText w:val="%1."/>
        <w:lvlJc w:val="left"/>
      </w:lvl>
    </w:lvlOverride>
  </w:num>
  <w:num w:numId="101" w16cid:durableId="434136263">
    <w:abstractNumId w:val="61"/>
    <w:lvlOverride w:ilvl="0">
      <w:lvl w:ilvl="0">
        <w:numFmt w:val="lowerLetter"/>
        <w:lvlText w:val="%1."/>
        <w:lvlJc w:val="left"/>
      </w:lvl>
    </w:lvlOverride>
  </w:num>
  <w:num w:numId="102" w16cid:durableId="872614760">
    <w:abstractNumId w:val="7"/>
    <w:lvlOverride w:ilvl="0">
      <w:lvl w:ilvl="0">
        <w:numFmt w:val="lowerLetter"/>
        <w:lvlText w:val="%1."/>
        <w:lvlJc w:val="left"/>
      </w:lvl>
    </w:lvlOverride>
  </w:num>
  <w:num w:numId="103" w16cid:durableId="823279477">
    <w:abstractNumId w:val="45"/>
    <w:lvlOverride w:ilvl="0">
      <w:lvl w:ilvl="0">
        <w:numFmt w:val="lowerLetter"/>
        <w:lvlText w:val="%1."/>
        <w:lvlJc w:val="left"/>
      </w:lvl>
    </w:lvlOverride>
  </w:num>
  <w:num w:numId="104" w16cid:durableId="1278100114">
    <w:abstractNumId w:val="4"/>
    <w:lvlOverride w:ilvl="0">
      <w:lvl w:ilvl="0">
        <w:numFmt w:val="lowerLetter"/>
        <w:lvlText w:val="%1."/>
        <w:lvlJc w:val="left"/>
      </w:lvl>
    </w:lvlOverride>
  </w:num>
  <w:num w:numId="105" w16cid:durableId="1600528145">
    <w:abstractNumId w:val="77"/>
    <w:lvlOverride w:ilvl="0">
      <w:lvl w:ilvl="0">
        <w:numFmt w:val="lowerLetter"/>
        <w:lvlText w:val="%1."/>
        <w:lvlJc w:val="left"/>
      </w:lvl>
    </w:lvlOverride>
  </w:num>
  <w:num w:numId="106" w16cid:durableId="2085056778">
    <w:abstractNumId w:val="3"/>
    <w:lvlOverride w:ilvl="0">
      <w:lvl w:ilvl="0">
        <w:numFmt w:val="lowerLetter"/>
        <w:lvlText w:val="%1."/>
        <w:lvlJc w:val="left"/>
      </w:lvl>
    </w:lvlOverride>
  </w:num>
  <w:num w:numId="107" w16cid:durableId="1013534392">
    <w:abstractNumId w:val="56"/>
    <w:lvlOverride w:ilvl="0">
      <w:lvl w:ilvl="0">
        <w:numFmt w:val="lowerLetter"/>
        <w:lvlText w:val="%1."/>
        <w:lvlJc w:val="left"/>
      </w:lvl>
    </w:lvlOverride>
  </w:num>
  <w:num w:numId="108" w16cid:durableId="1183856266">
    <w:abstractNumId w:val="59"/>
    <w:lvlOverride w:ilvl="0">
      <w:lvl w:ilvl="0">
        <w:numFmt w:val="lowerLetter"/>
        <w:lvlText w:val="%1."/>
        <w:lvlJc w:val="left"/>
      </w:lvl>
    </w:lvlOverride>
  </w:num>
  <w:num w:numId="109" w16cid:durableId="721441125">
    <w:abstractNumId w:val="81"/>
    <w:lvlOverride w:ilvl="0">
      <w:lvl w:ilvl="0">
        <w:numFmt w:val="lowerLetter"/>
        <w:lvlText w:val="%1."/>
        <w:lvlJc w:val="left"/>
      </w:lvl>
    </w:lvlOverride>
  </w:num>
  <w:num w:numId="110" w16cid:durableId="444542474">
    <w:abstractNumId w:val="74"/>
  </w:num>
  <w:num w:numId="111" w16cid:durableId="184103939">
    <w:abstractNumId w:val="38"/>
  </w:num>
  <w:num w:numId="112" w16cid:durableId="483738665">
    <w:abstractNumId w:val="65"/>
  </w:num>
  <w:num w:numId="113" w16cid:durableId="615520827">
    <w:abstractNumId w:val="37"/>
  </w:num>
  <w:num w:numId="114" w16cid:durableId="2138135221">
    <w:abstractNumId w:val="16"/>
  </w:num>
  <w:num w:numId="115" w16cid:durableId="314068002">
    <w:abstractNumId w:val="1"/>
  </w:num>
  <w:num w:numId="116" w16cid:durableId="1107625709">
    <w:abstractNumId w:val="72"/>
  </w:num>
  <w:num w:numId="117" w16cid:durableId="118235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39112091">
    <w:abstractNumId w:val="24"/>
  </w:num>
  <w:num w:numId="119" w16cid:durableId="2099405921">
    <w:abstractNumId w:val="24"/>
  </w:num>
  <w:num w:numId="120" w16cid:durableId="1425417584">
    <w:abstractNumId w:val="25"/>
  </w:num>
  <w:num w:numId="121" w16cid:durableId="1302079134">
    <w:abstractNumId w:val="86"/>
  </w:num>
  <w:num w:numId="122" w16cid:durableId="1869099785">
    <w:abstractNumId w:val="32"/>
  </w:num>
  <w:num w:numId="123" w16cid:durableId="12636871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34410531">
    <w:abstractNumId w:val="24"/>
  </w:num>
  <w:num w:numId="125" w16cid:durableId="4224586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7989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14286720">
    <w:abstractNumId w:val="24"/>
  </w:num>
  <w:num w:numId="128" w16cid:durableId="1757746543">
    <w:abstractNumId w:val="24"/>
  </w:num>
  <w:num w:numId="129" w16cid:durableId="16317828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1264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9205431">
    <w:abstractNumId w:val="24"/>
  </w:num>
  <w:num w:numId="132" w16cid:durableId="11062675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59033289">
    <w:abstractNumId w:val="24"/>
  </w:num>
  <w:num w:numId="134" w16cid:durableId="1512452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25551395">
    <w:abstractNumId w:val="24"/>
  </w:num>
  <w:num w:numId="136" w16cid:durableId="153766005">
    <w:abstractNumId w:val="90"/>
  </w:num>
  <w:num w:numId="137" w16cid:durableId="1886595225">
    <w:abstractNumId w:val="24"/>
  </w:num>
  <w:num w:numId="138" w16cid:durableId="774204089">
    <w:abstractNumId w:val="24"/>
  </w:num>
  <w:num w:numId="139" w16cid:durableId="535504798">
    <w:abstractNumId w:val="24"/>
  </w:num>
  <w:num w:numId="140" w16cid:durableId="1862159539">
    <w:abstractNumId w:val="24"/>
  </w:num>
  <w:num w:numId="141" w16cid:durableId="389421212">
    <w:abstractNumId w:val="24"/>
  </w:num>
  <w:num w:numId="142" w16cid:durableId="424420004">
    <w:abstractNumId w:val="18"/>
  </w:num>
  <w:num w:numId="143" w16cid:durableId="942684081">
    <w:abstractNumId w:val="47"/>
  </w:num>
  <w:num w:numId="144" w16cid:durableId="52968634">
    <w:abstractNumId w:val="24"/>
  </w:num>
  <w:num w:numId="145" w16cid:durableId="127979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93070712">
    <w:abstractNumId w:val="2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09727071">
    <w:abstractNumId w:val="24"/>
  </w:num>
  <w:num w:numId="148" w16cid:durableId="647520164">
    <w:abstractNumId w:val="24"/>
  </w:num>
  <w:num w:numId="149" w16cid:durableId="1927110493">
    <w:abstractNumId w:val="24"/>
  </w:num>
  <w:num w:numId="150" w16cid:durableId="472873481">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misse Attorneys">
    <w15:presenceInfo w15:providerId="None" w15:userId="Dommisse Attorneys"/>
  </w15:person>
  <w15:person w15:author="Adrian Dommisse">
    <w15:presenceInfo w15:providerId="AD" w15:userId="S::Adrian@dommisseattorneys.co.za::bad66fad-f207-4178-9e48-43fd69cbb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DFieldAppearanceNeedsUpdate" w:val="True"/>
  </w:docVars>
  <w:rsids>
    <w:rsidRoot w:val="00613199"/>
    <w:rsid w:val="00002E39"/>
    <w:rsid w:val="00004400"/>
    <w:rsid w:val="000052C9"/>
    <w:rsid w:val="00012278"/>
    <w:rsid w:val="000151BC"/>
    <w:rsid w:val="00015B12"/>
    <w:rsid w:val="0001635B"/>
    <w:rsid w:val="00017C99"/>
    <w:rsid w:val="00017FFC"/>
    <w:rsid w:val="00020F5F"/>
    <w:rsid w:val="0002151E"/>
    <w:rsid w:val="00021B81"/>
    <w:rsid w:val="00022C2B"/>
    <w:rsid w:val="000243A0"/>
    <w:rsid w:val="00024B63"/>
    <w:rsid w:val="0002638D"/>
    <w:rsid w:val="0002649D"/>
    <w:rsid w:val="00026A09"/>
    <w:rsid w:val="00027319"/>
    <w:rsid w:val="00027D97"/>
    <w:rsid w:val="00030CF5"/>
    <w:rsid w:val="000314C5"/>
    <w:rsid w:val="0003315C"/>
    <w:rsid w:val="00033AAE"/>
    <w:rsid w:val="00033ACC"/>
    <w:rsid w:val="0003660C"/>
    <w:rsid w:val="00036A1B"/>
    <w:rsid w:val="00037A17"/>
    <w:rsid w:val="00041D2B"/>
    <w:rsid w:val="00042342"/>
    <w:rsid w:val="000435E7"/>
    <w:rsid w:val="00043BD7"/>
    <w:rsid w:val="00043CDA"/>
    <w:rsid w:val="000445F1"/>
    <w:rsid w:val="000447CB"/>
    <w:rsid w:val="00044DE9"/>
    <w:rsid w:val="000452C8"/>
    <w:rsid w:val="000453E2"/>
    <w:rsid w:val="000454BB"/>
    <w:rsid w:val="00050999"/>
    <w:rsid w:val="00050B4A"/>
    <w:rsid w:val="000513A7"/>
    <w:rsid w:val="00052ED8"/>
    <w:rsid w:val="00053793"/>
    <w:rsid w:val="000545AE"/>
    <w:rsid w:val="00055FDE"/>
    <w:rsid w:val="00056CC1"/>
    <w:rsid w:val="00057320"/>
    <w:rsid w:val="000577C1"/>
    <w:rsid w:val="00060FA1"/>
    <w:rsid w:val="000621A1"/>
    <w:rsid w:val="00064DD7"/>
    <w:rsid w:val="00064F53"/>
    <w:rsid w:val="00071391"/>
    <w:rsid w:val="00071474"/>
    <w:rsid w:val="000714D2"/>
    <w:rsid w:val="000728E8"/>
    <w:rsid w:val="00072EEB"/>
    <w:rsid w:val="000742C7"/>
    <w:rsid w:val="000750FE"/>
    <w:rsid w:val="00075617"/>
    <w:rsid w:val="00076D92"/>
    <w:rsid w:val="000802A2"/>
    <w:rsid w:val="00082FB8"/>
    <w:rsid w:val="00084093"/>
    <w:rsid w:val="000848EC"/>
    <w:rsid w:val="00084A53"/>
    <w:rsid w:val="0008518D"/>
    <w:rsid w:val="000858B8"/>
    <w:rsid w:val="0008682C"/>
    <w:rsid w:val="00087934"/>
    <w:rsid w:val="00087DDA"/>
    <w:rsid w:val="00094126"/>
    <w:rsid w:val="00094CA1"/>
    <w:rsid w:val="00096C62"/>
    <w:rsid w:val="00096D8F"/>
    <w:rsid w:val="00096E2C"/>
    <w:rsid w:val="000978EF"/>
    <w:rsid w:val="00097989"/>
    <w:rsid w:val="000A193B"/>
    <w:rsid w:val="000A23A0"/>
    <w:rsid w:val="000A39B9"/>
    <w:rsid w:val="000A3B21"/>
    <w:rsid w:val="000A4897"/>
    <w:rsid w:val="000A51DE"/>
    <w:rsid w:val="000A6BFC"/>
    <w:rsid w:val="000A6FEA"/>
    <w:rsid w:val="000A75FA"/>
    <w:rsid w:val="000B15EF"/>
    <w:rsid w:val="000B32EB"/>
    <w:rsid w:val="000B3353"/>
    <w:rsid w:val="000B40D4"/>
    <w:rsid w:val="000B7DBC"/>
    <w:rsid w:val="000C2F4E"/>
    <w:rsid w:val="000C4FA5"/>
    <w:rsid w:val="000C56F0"/>
    <w:rsid w:val="000C58B7"/>
    <w:rsid w:val="000C685C"/>
    <w:rsid w:val="000C7E2C"/>
    <w:rsid w:val="000C7EA2"/>
    <w:rsid w:val="000D08D3"/>
    <w:rsid w:val="000D0F7D"/>
    <w:rsid w:val="000D13DE"/>
    <w:rsid w:val="000D15C3"/>
    <w:rsid w:val="000D2506"/>
    <w:rsid w:val="000D38D0"/>
    <w:rsid w:val="000D4BD1"/>
    <w:rsid w:val="000D6152"/>
    <w:rsid w:val="000E07F5"/>
    <w:rsid w:val="000E082E"/>
    <w:rsid w:val="000E0C6C"/>
    <w:rsid w:val="000E11B1"/>
    <w:rsid w:val="000E1324"/>
    <w:rsid w:val="000E1C4D"/>
    <w:rsid w:val="000E26AE"/>
    <w:rsid w:val="000E3327"/>
    <w:rsid w:val="000E3527"/>
    <w:rsid w:val="000E49D5"/>
    <w:rsid w:val="000E4D4C"/>
    <w:rsid w:val="000E5CED"/>
    <w:rsid w:val="000E620D"/>
    <w:rsid w:val="000E784D"/>
    <w:rsid w:val="000F08D6"/>
    <w:rsid w:val="000F15C9"/>
    <w:rsid w:val="000F19F9"/>
    <w:rsid w:val="000F39BC"/>
    <w:rsid w:val="000F45DE"/>
    <w:rsid w:val="000F5A3C"/>
    <w:rsid w:val="000F6C91"/>
    <w:rsid w:val="000F6DEC"/>
    <w:rsid w:val="00100885"/>
    <w:rsid w:val="001016F8"/>
    <w:rsid w:val="00101740"/>
    <w:rsid w:val="0010254E"/>
    <w:rsid w:val="00107027"/>
    <w:rsid w:val="00112015"/>
    <w:rsid w:val="0011344A"/>
    <w:rsid w:val="00114F3C"/>
    <w:rsid w:val="00120876"/>
    <w:rsid w:val="0012104F"/>
    <w:rsid w:val="001219E3"/>
    <w:rsid w:val="00121A7F"/>
    <w:rsid w:val="00121E63"/>
    <w:rsid w:val="00122900"/>
    <w:rsid w:val="001245A3"/>
    <w:rsid w:val="00126B60"/>
    <w:rsid w:val="001306ED"/>
    <w:rsid w:val="001315EF"/>
    <w:rsid w:val="001318DB"/>
    <w:rsid w:val="001324CE"/>
    <w:rsid w:val="00132D52"/>
    <w:rsid w:val="001342A7"/>
    <w:rsid w:val="001348A4"/>
    <w:rsid w:val="001349A1"/>
    <w:rsid w:val="0013632E"/>
    <w:rsid w:val="00137D08"/>
    <w:rsid w:val="0014080A"/>
    <w:rsid w:val="00140CD2"/>
    <w:rsid w:val="00142BD7"/>
    <w:rsid w:val="00142E96"/>
    <w:rsid w:val="00144913"/>
    <w:rsid w:val="00146D12"/>
    <w:rsid w:val="00146D90"/>
    <w:rsid w:val="001476E5"/>
    <w:rsid w:val="00147926"/>
    <w:rsid w:val="001507ED"/>
    <w:rsid w:val="00151B9C"/>
    <w:rsid w:val="0015217C"/>
    <w:rsid w:val="0015230D"/>
    <w:rsid w:val="00153F5B"/>
    <w:rsid w:val="0015408F"/>
    <w:rsid w:val="00154A62"/>
    <w:rsid w:val="00155536"/>
    <w:rsid w:val="00157174"/>
    <w:rsid w:val="00157D10"/>
    <w:rsid w:val="001606B6"/>
    <w:rsid w:val="00160BCF"/>
    <w:rsid w:val="001616DD"/>
    <w:rsid w:val="00162C90"/>
    <w:rsid w:val="00162FED"/>
    <w:rsid w:val="0016664B"/>
    <w:rsid w:val="0016753B"/>
    <w:rsid w:val="0017163A"/>
    <w:rsid w:val="00172B81"/>
    <w:rsid w:val="001753D5"/>
    <w:rsid w:val="00175721"/>
    <w:rsid w:val="001763E7"/>
    <w:rsid w:val="00177BB8"/>
    <w:rsid w:val="0018202C"/>
    <w:rsid w:val="00183633"/>
    <w:rsid w:val="0018464A"/>
    <w:rsid w:val="00185B5A"/>
    <w:rsid w:val="00186210"/>
    <w:rsid w:val="00186FE7"/>
    <w:rsid w:val="00191018"/>
    <w:rsid w:val="001913E0"/>
    <w:rsid w:val="00193ADE"/>
    <w:rsid w:val="00194705"/>
    <w:rsid w:val="001956C3"/>
    <w:rsid w:val="00196A2A"/>
    <w:rsid w:val="001970CA"/>
    <w:rsid w:val="00197AC3"/>
    <w:rsid w:val="00197DA9"/>
    <w:rsid w:val="001A13F5"/>
    <w:rsid w:val="001A1519"/>
    <w:rsid w:val="001A1743"/>
    <w:rsid w:val="001A17E3"/>
    <w:rsid w:val="001A2282"/>
    <w:rsid w:val="001A22EF"/>
    <w:rsid w:val="001A340D"/>
    <w:rsid w:val="001A34EC"/>
    <w:rsid w:val="001A5B52"/>
    <w:rsid w:val="001A5E0A"/>
    <w:rsid w:val="001A5F6D"/>
    <w:rsid w:val="001A74FF"/>
    <w:rsid w:val="001B10B7"/>
    <w:rsid w:val="001B138D"/>
    <w:rsid w:val="001B22D2"/>
    <w:rsid w:val="001B33CA"/>
    <w:rsid w:val="001B3CD3"/>
    <w:rsid w:val="001B5188"/>
    <w:rsid w:val="001B594C"/>
    <w:rsid w:val="001B5B99"/>
    <w:rsid w:val="001B6670"/>
    <w:rsid w:val="001B6B39"/>
    <w:rsid w:val="001B7620"/>
    <w:rsid w:val="001C0C0C"/>
    <w:rsid w:val="001C1078"/>
    <w:rsid w:val="001C1F28"/>
    <w:rsid w:val="001C2838"/>
    <w:rsid w:val="001C28D4"/>
    <w:rsid w:val="001C3BA0"/>
    <w:rsid w:val="001C469B"/>
    <w:rsid w:val="001C4E83"/>
    <w:rsid w:val="001C501C"/>
    <w:rsid w:val="001C5CF6"/>
    <w:rsid w:val="001C675A"/>
    <w:rsid w:val="001C699D"/>
    <w:rsid w:val="001C73CC"/>
    <w:rsid w:val="001C78BF"/>
    <w:rsid w:val="001D2620"/>
    <w:rsid w:val="001D2755"/>
    <w:rsid w:val="001D278D"/>
    <w:rsid w:val="001D7B21"/>
    <w:rsid w:val="001E198D"/>
    <w:rsid w:val="001E2545"/>
    <w:rsid w:val="001E428D"/>
    <w:rsid w:val="001E463B"/>
    <w:rsid w:val="001E47D5"/>
    <w:rsid w:val="001E4C2C"/>
    <w:rsid w:val="001E4E8B"/>
    <w:rsid w:val="001E536E"/>
    <w:rsid w:val="001E5A83"/>
    <w:rsid w:val="001E69F0"/>
    <w:rsid w:val="001E7C03"/>
    <w:rsid w:val="001E7CA7"/>
    <w:rsid w:val="001F1774"/>
    <w:rsid w:val="001F307A"/>
    <w:rsid w:val="001F439B"/>
    <w:rsid w:val="001F520A"/>
    <w:rsid w:val="001F5841"/>
    <w:rsid w:val="001F5B92"/>
    <w:rsid w:val="001F76BC"/>
    <w:rsid w:val="00200852"/>
    <w:rsid w:val="0020169E"/>
    <w:rsid w:val="0020233C"/>
    <w:rsid w:val="002046A5"/>
    <w:rsid w:val="002046E2"/>
    <w:rsid w:val="00204811"/>
    <w:rsid w:val="00204DBC"/>
    <w:rsid w:val="00205C1A"/>
    <w:rsid w:val="00206088"/>
    <w:rsid w:val="00206662"/>
    <w:rsid w:val="00206A5A"/>
    <w:rsid w:val="00210016"/>
    <w:rsid w:val="00211ECB"/>
    <w:rsid w:val="00212C29"/>
    <w:rsid w:val="00212F81"/>
    <w:rsid w:val="0021318E"/>
    <w:rsid w:val="002131E6"/>
    <w:rsid w:val="00213345"/>
    <w:rsid w:val="00214537"/>
    <w:rsid w:val="002156E2"/>
    <w:rsid w:val="00215EA8"/>
    <w:rsid w:val="00220C24"/>
    <w:rsid w:val="00224A8D"/>
    <w:rsid w:val="00225774"/>
    <w:rsid w:val="00225B99"/>
    <w:rsid w:val="00226C90"/>
    <w:rsid w:val="002270D6"/>
    <w:rsid w:val="00227BAC"/>
    <w:rsid w:val="00227CDA"/>
    <w:rsid w:val="00230968"/>
    <w:rsid w:val="00230975"/>
    <w:rsid w:val="00230D24"/>
    <w:rsid w:val="0023149D"/>
    <w:rsid w:val="002323D6"/>
    <w:rsid w:val="002328F7"/>
    <w:rsid w:val="00232937"/>
    <w:rsid w:val="00233FC2"/>
    <w:rsid w:val="00235124"/>
    <w:rsid w:val="0023540E"/>
    <w:rsid w:val="00237878"/>
    <w:rsid w:val="00237DE5"/>
    <w:rsid w:val="00240A40"/>
    <w:rsid w:val="00245847"/>
    <w:rsid w:val="00246B53"/>
    <w:rsid w:val="00247C23"/>
    <w:rsid w:val="00250B25"/>
    <w:rsid w:val="002519FA"/>
    <w:rsid w:val="00251D6D"/>
    <w:rsid w:val="00252530"/>
    <w:rsid w:val="00253C03"/>
    <w:rsid w:val="00253CC9"/>
    <w:rsid w:val="00256AB2"/>
    <w:rsid w:val="00261A06"/>
    <w:rsid w:val="0026227C"/>
    <w:rsid w:val="0026410C"/>
    <w:rsid w:val="0026453E"/>
    <w:rsid w:val="002649BC"/>
    <w:rsid w:val="00264FC3"/>
    <w:rsid w:val="00265A5F"/>
    <w:rsid w:val="00266C64"/>
    <w:rsid w:val="00266E9C"/>
    <w:rsid w:val="00267EBB"/>
    <w:rsid w:val="00271054"/>
    <w:rsid w:val="0027147B"/>
    <w:rsid w:val="00271FFE"/>
    <w:rsid w:val="00272ED6"/>
    <w:rsid w:val="002733A9"/>
    <w:rsid w:val="00274018"/>
    <w:rsid w:val="0027689A"/>
    <w:rsid w:val="002769A2"/>
    <w:rsid w:val="00280681"/>
    <w:rsid w:val="00280FBD"/>
    <w:rsid w:val="0028154C"/>
    <w:rsid w:val="002820B6"/>
    <w:rsid w:val="0028309B"/>
    <w:rsid w:val="00284319"/>
    <w:rsid w:val="00285217"/>
    <w:rsid w:val="00285A12"/>
    <w:rsid w:val="00286070"/>
    <w:rsid w:val="00286B21"/>
    <w:rsid w:val="00287630"/>
    <w:rsid w:val="00287870"/>
    <w:rsid w:val="002915E7"/>
    <w:rsid w:val="00292022"/>
    <w:rsid w:val="0029202B"/>
    <w:rsid w:val="00293BE9"/>
    <w:rsid w:val="00294048"/>
    <w:rsid w:val="00295B6F"/>
    <w:rsid w:val="00296D8D"/>
    <w:rsid w:val="0029725B"/>
    <w:rsid w:val="002A16DF"/>
    <w:rsid w:val="002A64A0"/>
    <w:rsid w:val="002A6A4E"/>
    <w:rsid w:val="002A6C6F"/>
    <w:rsid w:val="002A7E3B"/>
    <w:rsid w:val="002B0F7B"/>
    <w:rsid w:val="002B20F2"/>
    <w:rsid w:val="002B3DF0"/>
    <w:rsid w:val="002B4409"/>
    <w:rsid w:val="002B5079"/>
    <w:rsid w:val="002B609A"/>
    <w:rsid w:val="002B66A7"/>
    <w:rsid w:val="002B6A97"/>
    <w:rsid w:val="002C1EDA"/>
    <w:rsid w:val="002C2682"/>
    <w:rsid w:val="002C2878"/>
    <w:rsid w:val="002C293B"/>
    <w:rsid w:val="002C2F16"/>
    <w:rsid w:val="002C4626"/>
    <w:rsid w:val="002C49B5"/>
    <w:rsid w:val="002C5C7A"/>
    <w:rsid w:val="002C6A4D"/>
    <w:rsid w:val="002C7F27"/>
    <w:rsid w:val="002D05F9"/>
    <w:rsid w:val="002D0985"/>
    <w:rsid w:val="002D1538"/>
    <w:rsid w:val="002D1585"/>
    <w:rsid w:val="002D16C5"/>
    <w:rsid w:val="002D1A67"/>
    <w:rsid w:val="002D3DDB"/>
    <w:rsid w:val="002D6AD2"/>
    <w:rsid w:val="002D6F6B"/>
    <w:rsid w:val="002D7054"/>
    <w:rsid w:val="002E1017"/>
    <w:rsid w:val="002E25CA"/>
    <w:rsid w:val="002E2C98"/>
    <w:rsid w:val="002E3549"/>
    <w:rsid w:val="002E48FD"/>
    <w:rsid w:val="002E59E6"/>
    <w:rsid w:val="002E6B86"/>
    <w:rsid w:val="002E6FA5"/>
    <w:rsid w:val="002F10A9"/>
    <w:rsid w:val="002F133A"/>
    <w:rsid w:val="002F587C"/>
    <w:rsid w:val="002F63E5"/>
    <w:rsid w:val="002F78A9"/>
    <w:rsid w:val="00301393"/>
    <w:rsid w:val="00301439"/>
    <w:rsid w:val="0030146D"/>
    <w:rsid w:val="00301BC7"/>
    <w:rsid w:val="00303634"/>
    <w:rsid w:val="00305132"/>
    <w:rsid w:val="0030598D"/>
    <w:rsid w:val="00305D8E"/>
    <w:rsid w:val="0030615B"/>
    <w:rsid w:val="00306189"/>
    <w:rsid w:val="00310BCA"/>
    <w:rsid w:val="00311B96"/>
    <w:rsid w:val="0031400C"/>
    <w:rsid w:val="00314608"/>
    <w:rsid w:val="00314F2F"/>
    <w:rsid w:val="00316902"/>
    <w:rsid w:val="00317281"/>
    <w:rsid w:val="00320853"/>
    <w:rsid w:val="00320878"/>
    <w:rsid w:val="00322AC9"/>
    <w:rsid w:val="0032337C"/>
    <w:rsid w:val="00324D3A"/>
    <w:rsid w:val="00325B95"/>
    <w:rsid w:val="003266F4"/>
    <w:rsid w:val="00330C03"/>
    <w:rsid w:val="00330D30"/>
    <w:rsid w:val="003312B5"/>
    <w:rsid w:val="003321CB"/>
    <w:rsid w:val="00333A97"/>
    <w:rsid w:val="00334309"/>
    <w:rsid w:val="0033479C"/>
    <w:rsid w:val="003367DF"/>
    <w:rsid w:val="00337B89"/>
    <w:rsid w:val="003414B7"/>
    <w:rsid w:val="00341B28"/>
    <w:rsid w:val="0034237A"/>
    <w:rsid w:val="00342BB3"/>
    <w:rsid w:val="003434DE"/>
    <w:rsid w:val="0034490F"/>
    <w:rsid w:val="003453F1"/>
    <w:rsid w:val="00346B6E"/>
    <w:rsid w:val="00347972"/>
    <w:rsid w:val="00347B3F"/>
    <w:rsid w:val="00350834"/>
    <w:rsid w:val="00350D42"/>
    <w:rsid w:val="00351466"/>
    <w:rsid w:val="00352A0E"/>
    <w:rsid w:val="00353438"/>
    <w:rsid w:val="00354AD4"/>
    <w:rsid w:val="00355ED7"/>
    <w:rsid w:val="0035646C"/>
    <w:rsid w:val="00356C0C"/>
    <w:rsid w:val="0036039A"/>
    <w:rsid w:val="00361032"/>
    <w:rsid w:val="0036201D"/>
    <w:rsid w:val="003648B4"/>
    <w:rsid w:val="00365213"/>
    <w:rsid w:val="00365DCC"/>
    <w:rsid w:val="003660B6"/>
    <w:rsid w:val="00366628"/>
    <w:rsid w:val="00366C14"/>
    <w:rsid w:val="00372DDD"/>
    <w:rsid w:val="00373968"/>
    <w:rsid w:val="0037528C"/>
    <w:rsid w:val="00376119"/>
    <w:rsid w:val="00377AA7"/>
    <w:rsid w:val="00380496"/>
    <w:rsid w:val="00380ADC"/>
    <w:rsid w:val="00381096"/>
    <w:rsid w:val="003810DD"/>
    <w:rsid w:val="00382F53"/>
    <w:rsid w:val="00384B64"/>
    <w:rsid w:val="00384D6A"/>
    <w:rsid w:val="0038556A"/>
    <w:rsid w:val="00385B8C"/>
    <w:rsid w:val="00385DD9"/>
    <w:rsid w:val="00386810"/>
    <w:rsid w:val="00386B97"/>
    <w:rsid w:val="00387C8D"/>
    <w:rsid w:val="00387CF1"/>
    <w:rsid w:val="00387F60"/>
    <w:rsid w:val="0039159A"/>
    <w:rsid w:val="00391BA0"/>
    <w:rsid w:val="00392025"/>
    <w:rsid w:val="0039383F"/>
    <w:rsid w:val="00396A8A"/>
    <w:rsid w:val="00396CC4"/>
    <w:rsid w:val="003974D6"/>
    <w:rsid w:val="0039796E"/>
    <w:rsid w:val="00397B05"/>
    <w:rsid w:val="003A0038"/>
    <w:rsid w:val="003A0622"/>
    <w:rsid w:val="003A084D"/>
    <w:rsid w:val="003A13AA"/>
    <w:rsid w:val="003A1EED"/>
    <w:rsid w:val="003A2045"/>
    <w:rsid w:val="003A3C8E"/>
    <w:rsid w:val="003A42B7"/>
    <w:rsid w:val="003A504C"/>
    <w:rsid w:val="003A54DD"/>
    <w:rsid w:val="003A6F05"/>
    <w:rsid w:val="003A7780"/>
    <w:rsid w:val="003B020D"/>
    <w:rsid w:val="003B033A"/>
    <w:rsid w:val="003B0B3D"/>
    <w:rsid w:val="003B13C3"/>
    <w:rsid w:val="003B1ADC"/>
    <w:rsid w:val="003B2FDF"/>
    <w:rsid w:val="003B3DFE"/>
    <w:rsid w:val="003B3E6E"/>
    <w:rsid w:val="003B5ECC"/>
    <w:rsid w:val="003B6B59"/>
    <w:rsid w:val="003C0BBE"/>
    <w:rsid w:val="003C10AA"/>
    <w:rsid w:val="003C179E"/>
    <w:rsid w:val="003C2003"/>
    <w:rsid w:val="003C22BC"/>
    <w:rsid w:val="003C2DCA"/>
    <w:rsid w:val="003C52E4"/>
    <w:rsid w:val="003C5F85"/>
    <w:rsid w:val="003C6110"/>
    <w:rsid w:val="003D3D5D"/>
    <w:rsid w:val="003D4079"/>
    <w:rsid w:val="003D453F"/>
    <w:rsid w:val="003D4844"/>
    <w:rsid w:val="003D4AC9"/>
    <w:rsid w:val="003D4D84"/>
    <w:rsid w:val="003D51E8"/>
    <w:rsid w:val="003D5213"/>
    <w:rsid w:val="003D5880"/>
    <w:rsid w:val="003D58AD"/>
    <w:rsid w:val="003D5BF0"/>
    <w:rsid w:val="003E1A47"/>
    <w:rsid w:val="003E23F2"/>
    <w:rsid w:val="003E3FD4"/>
    <w:rsid w:val="003E6D61"/>
    <w:rsid w:val="003E7CF1"/>
    <w:rsid w:val="003F17E1"/>
    <w:rsid w:val="003F34E4"/>
    <w:rsid w:val="003F41B2"/>
    <w:rsid w:val="003F4E3A"/>
    <w:rsid w:val="003F5791"/>
    <w:rsid w:val="004003EC"/>
    <w:rsid w:val="004009C3"/>
    <w:rsid w:val="0040280A"/>
    <w:rsid w:val="00402C9F"/>
    <w:rsid w:val="0040340A"/>
    <w:rsid w:val="00404580"/>
    <w:rsid w:val="00405969"/>
    <w:rsid w:val="0040680A"/>
    <w:rsid w:val="004110C0"/>
    <w:rsid w:val="00411EAF"/>
    <w:rsid w:val="00412145"/>
    <w:rsid w:val="00415FCB"/>
    <w:rsid w:val="0041706F"/>
    <w:rsid w:val="00421BEC"/>
    <w:rsid w:val="004227FE"/>
    <w:rsid w:val="004236FE"/>
    <w:rsid w:val="00423B1E"/>
    <w:rsid w:val="004248E3"/>
    <w:rsid w:val="00427D40"/>
    <w:rsid w:val="00431B8C"/>
    <w:rsid w:val="00432388"/>
    <w:rsid w:val="00436044"/>
    <w:rsid w:val="00437214"/>
    <w:rsid w:val="00441B51"/>
    <w:rsid w:val="00443E38"/>
    <w:rsid w:val="004447F6"/>
    <w:rsid w:val="00445F15"/>
    <w:rsid w:val="00446F10"/>
    <w:rsid w:val="00450614"/>
    <w:rsid w:val="00451C78"/>
    <w:rsid w:val="00452023"/>
    <w:rsid w:val="00452FF7"/>
    <w:rsid w:val="004545AB"/>
    <w:rsid w:val="00454806"/>
    <w:rsid w:val="004558F2"/>
    <w:rsid w:val="00455DBF"/>
    <w:rsid w:val="0045620A"/>
    <w:rsid w:val="00456AD1"/>
    <w:rsid w:val="00462C16"/>
    <w:rsid w:val="00463706"/>
    <w:rsid w:val="00464721"/>
    <w:rsid w:val="00464D84"/>
    <w:rsid w:val="0047191D"/>
    <w:rsid w:val="00471F4E"/>
    <w:rsid w:val="00473ABD"/>
    <w:rsid w:val="00473F20"/>
    <w:rsid w:val="0047464F"/>
    <w:rsid w:val="00474C3A"/>
    <w:rsid w:val="004757C1"/>
    <w:rsid w:val="004762C6"/>
    <w:rsid w:val="00476D6A"/>
    <w:rsid w:val="004777F1"/>
    <w:rsid w:val="004801F3"/>
    <w:rsid w:val="00480348"/>
    <w:rsid w:val="00480B89"/>
    <w:rsid w:val="004813A8"/>
    <w:rsid w:val="00482157"/>
    <w:rsid w:val="004821D7"/>
    <w:rsid w:val="004823B2"/>
    <w:rsid w:val="00483B42"/>
    <w:rsid w:val="0048445F"/>
    <w:rsid w:val="00484F22"/>
    <w:rsid w:val="00487344"/>
    <w:rsid w:val="00490038"/>
    <w:rsid w:val="004913EC"/>
    <w:rsid w:val="00491B28"/>
    <w:rsid w:val="004930C3"/>
    <w:rsid w:val="004930CA"/>
    <w:rsid w:val="004943D5"/>
    <w:rsid w:val="0049547D"/>
    <w:rsid w:val="00495A5E"/>
    <w:rsid w:val="00496258"/>
    <w:rsid w:val="00496D0C"/>
    <w:rsid w:val="00497522"/>
    <w:rsid w:val="00497D6E"/>
    <w:rsid w:val="004A194B"/>
    <w:rsid w:val="004A2044"/>
    <w:rsid w:val="004A3433"/>
    <w:rsid w:val="004A387B"/>
    <w:rsid w:val="004A3ABB"/>
    <w:rsid w:val="004A3DA3"/>
    <w:rsid w:val="004A4478"/>
    <w:rsid w:val="004A54E1"/>
    <w:rsid w:val="004A7AFF"/>
    <w:rsid w:val="004A7D46"/>
    <w:rsid w:val="004B0C00"/>
    <w:rsid w:val="004B12FA"/>
    <w:rsid w:val="004B44AA"/>
    <w:rsid w:val="004B50A2"/>
    <w:rsid w:val="004B5464"/>
    <w:rsid w:val="004B5734"/>
    <w:rsid w:val="004B6F0A"/>
    <w:rsid w:val="004B7A0E"/>
    <w:rsid w:val="004C1F22"/>
    <w:rsid w:val="004C50D8"/>
    <w:rsid w:val="004D01DF"/>
    <w:rsid w:val="004D073F"/>
    <w:rsid w:val="004D40B9"/>
    <w:rsid w:val="004D65C7"/>
    <w:rsid w:val="004D6700"/>
    <w:rsid w:val="004D6833"/>
    <w:rsid w:val="004D6987"/>
    <w:rsid w:val="004D790F"/>
    <w:rsid w:val="004E3E5D"/>
    <w:rsid w:val="004E4802"/>
    <w:rsid w:val="004E512E"/>
    <w:rsid w:val="004E725F"/>
    <w:rsid w:val="004F099C"/>
    <w:rsid w:val="004F0EC7"/>
    <w:rsid w:val="004F1796"/>
    <w:rsid w:val="004F313D"/>
    <w:rsid w:val="004F4518"/>
    <w:rsid w:val="004F5AE1"/>
    <w:rsid w:val="004F6DA6"/>
    <w:rsid w:val="004F7528"/>
    <w:rsid w:val="004F76CC"/>
    <w:rsid w:val="00500750"/>
    <w:rsid w:val="00500B84"/>
    <w:rsid w:val="005012F6"/>
    <w:rsid w:val="005029C4"/>
    <w:rsid w:val="00505659"/>
    <w:rsid w:val="0050570C"/>
    <w:rsid w:val="005069F8"/>
    <w:rsid w:val="00506D89"/>
    <w:rsid w:val="005104F8"/>
    <w:rsid w:val="00510722"/>
    <w:rsid w:val="005129D5"/>
    <w:rsid w:val="00512D63"/>
    <w:rsid w:val="00514064"/>
    <w:rsid w:val="00520611"/>
    <w:rsid w:val="005214F0"/>
    <w:rsid w:val="005228BF"/>
    <w:rsid w:val="00523B70"/>
    <w:rsid w:val="005242FC"/>
    <w:rsid w:val="00530BBE"/>
    <w:rsid w:val="005310DA"/>
    <w:rsid w:val="00533293"/>
    <w:rsid w:val="00533BB2"/>
    <w:rsid w:val="0053660E"/>
    <w:rsid w:val="00540101"/>
    <w:rsid w:val="00540501"/>
    <w:rsid w:val="00542086"/>
    <w:rsid w:val="005421F5"/>
    <w:rsid w:val="005422C0"/>
    <w:rsid w:val="005437A6"/>
    <w:rsid w:val="005438F5"/>
    <w:rsid w:val="005452AD"/>
    <w:rsid w:val="005456F7"/>
    <w:rsid w:val="00545EF6"/>
    <w:rsid w:val="0054616F"/>
    <w:rsid w:val="00547896"/>
    <w:rsid w:val="00551785"/>
    <w:rsid w:val="00551B6F"/>
    <w:rsid w:val="005530AD"/>
    <w:rsid w:val="005537E4"/>
    <w:rsid w:val="00554C9D"/>
    <w:rsid w:val="00556E6F"/>
    <w:rsid w:val="00556EE6"/>
    <w:rsid w:val="00557649"/>
    <w:rsid w:val="00557827"/>
    <w:rsid w:val="00557AF7"/>
    <w:rsid w:val="00560133"/>
    <w:rsid w:val="00560BFC"/>
    <w:rsid w:val="005622F4"/>
    <w:rsid w:val="005627D0"/>
    <w:rsid w:val="0056349B"/>
    <w:rsid w:val="00563EE0"/>
    <w:rsid w:val="00564ED6"/>
    <w:rsid w:val="005662A4"/>
    <w:rsid w:val="00570521"/>
    <w:rsid w:val="0057234D"/>
    <w:rsid w:val="0057370F"/>
    <w:rsid w:val="00573B79"/>
    <w:rsid w:val="005744F1"/>
    <w:rsid w:val="0057511C"/>
    <w:rsid w:val="00575F7A"/>
    <w:rsid w:val="00576746"/>
    <w:rsid w:val="00576A2D"/>
    <w:rsid w:val="005841B5"/>
    <w:rsid w:val="0058665E"/>
    <w:rsid w:val="005904BD"/>
    <w:rsid w:val="00590961"/>
    <w:rsid w:val="005913F5"/>
    <w:rsid w:val="00592CD3"/>
    <w:rsid w:val="00594AC2"/>
    <w:rsid w:val="0059500A"/>
    <w:rsid w:val="00595671"/>
    <w:rsid w:val="00595858"/>
    <w:rsid w:val="00596541"/>
    <w:rsid w:val="00596680"/>
    <w:rsid w:val="005973ED"/>
    <w:rsid w:val="00597F8C"/>
    <w:rsid w:val="005A171A"/>
    <w:rsid w:val="005A1A4F"/>
    <w:rsid w:val="005A1BF5"/>
    <w:rsid w:val="005A1EC1"/>
    <w:rsid w:val="005A22B9"/>
    <w:rsid w:val="005A3D21"/>
    <w:rsid w:val="005B0E9D"/>
    <w:rsid w:val="005B10A9"/>
    <w:rsid w:val="005B1869"/>
    <w:rsid w:val="005B1D25"/>
    <w:rsid w:val="005B2225"/>
    <w:rsid w:val="005B2B63"/>
    <w:rsid w:val="005B4BE8"/>
    <w:rsid w:val="005B4DDB"/>
    <w:rsid w:val="005B52BF"/>
    <w:rsid w:val="005B7F0A"/>
    <w:rsid w:val="005C1534"/>
    <w:rsid w:val="005C1D3D"/>
    <w:rsid w:val="005C257B"/>
    <w:rsid w:val="005C25A7"/>
    <w:rsid w:val="005C342C"/>
    <w:rsid w:val="005C381F"/>
    <w:rsid w:val="005C6AF9"/>
    <w:rsid w:val="005C6B04"/>
    <w:rsid w:val="005C782D"/>
    <w:rsid w:val="005D10C4"/>
    <w:rsid w:val="005D1398"/>
    <w:rsid w:val="005D2579"/>
    <w:rsid w:val="005D2D2D"/>
    <w:rsid w:val="005D32C9"/>
    <w:rsid w:val="005D367A"/>
    <w:rsid w:val="005D373D"/>
    <w:rsid w:val="005D3E0F"/>
    <w:rsid w:val="005D4365"/>
    <w:rsid w:val="005D6DE0"/>
    <w:rsid w:val="005D6E07"/>
    <w:rsid w:val="005E08EB"/>
    <w:rsid w:val="005E10FF"/>
    <w:rsid w:val="005E1D5F"/>
    <w:rsid w:val="005E5B60"/>
    <w:rsid w:val="005E7A6B"/>
    <w:rsid w:val="005F11BF"/>
    <w:rsid w:val="005F1241"/>
    <w:rsid w:val="005F1BB3"/>
    <w:rsid w:val="005F2609"/>
    <w:rsid w:val="005F2F42"/>
    <w:rsid w:val="005F2FA4"/>
    <w:rsid w:val="005F3D1B"/>
    <w:rsid w:val="005F4241"/>
    <w:rsid w:val="005F4AB6"/>
    <w:rsid w:val="005F567B"/>
    <w:rsid w:val="005F6D70"/>
    <w:rsid w:val="005F7003"/>
    <w:rsid w:val="00600AC6"/>
    <w:rsid w:val="006014C6"/>
    <w:rsid w:val="0060208A"/>
    <w:rsid w:val="00602621"/>
    <w:rsid w:val="0060386C"/>
    <w:rsid w:val="0060487E"/>
    <w:rsid w:val="0060551A"/>
    <w:rsid w:val="00605881"/>
    <w:rsid w:val="006074FC"/>
    <w:rsid w:val="0060793B"/>
    <w:rsid w:val="00611773"/>
    <w:rsid w:val="0061240E"/>
    <w:rsid w:val="00613199"/>
    <w:rsid w:val="0061390A"/>
    <w:rsid w:val="00613B2E"/>
    <w:rsid w:val="0061508C"/>
    <w:rsid w:val="006173B0"/>
    <w:rsid w:val="006201DE"/>
    <w:rsid w:val="0062125A"/>
    <w:rsid w:val="00621629"/>
    <w:rsid w:val="00622484"/>
    <w:rsid w:val="006235AC"/>
    <w:rsid w:val="0062360E"/>
    <w:rsid w:val="00623AC4"/>
    <w:rsid w:val="006244CD"/>
    <w:rsid w:val="00624E4C"/>
    <w:rsid w:val="00625EB0"/>
    <w:rsid w:val="00625FA3"/>
    <w:rsid w:val="0062761B"/>
    <w:rsid w:val="006314B6"/>
    <w:rsid w:val="00632613"/>
    <w:rsid w:val="00632B4B"/>
    <w:rsid w:val="00633773"/>
    <w:rsid w:val="006351F2"/>
    <w:rsid w:val="00635426"/>
    <w:rsid w:val="00635A89"/>
    <w:rsid w:val="00637D2E"/>
    <w:rsid w:val="00640DF1"/>
    <w:rsid w:val="006412B8"/>
    <w:rsid w:val="006418EB"/>
    <w:rsid w:val="00641B4C"/>
    <w:rsid w:val="0064225E"/>
    <w:rsid w:val="00642731"/>
    <w:rsid w:val="00642CD2"/>
    <w:rsid w:val="00645542"/>
    <w:rsid w:val="00645BF9"/>
    <w:rsid w:val="00650D7A"/>
    <w:rsid w:val="00650DE2"/>
    <w:rsid w:val="006510F4"/>
    <w:rsid w:val="0065129E"/>
    <w:rsid w:val="00653AF1"/>
    <w:rsid w:val="00655F6B"/>
    <w:rsid w:val="00656C47"/>
    <w:rsid w:val="00661146"/>
    <w:rsid w:val="00661779"/>
    <w:rsid w:val="00661D58"/>
    <w:rsid w:val="00662074"/>
    <w:rsid w:val="00663566"/>
    <w:rsid w:val="006647F9"/>
    <w:rsid w:val="00665530"/>
    <w:rsid w:val="00667351"/>
    <w:rsid w:val="006704FA"/>
    <w:rsid w:val="00671112"/>
    <w:rsid w:val="00671469"/>
    <w:rsid w:val="00671EBB"/>
    <w:rsid w:val="006721A2"/>
    <w:rsid w:val="00672DC3"/>
    <w:rsid w:val="00673452"/>
    <w:rsid w:val="006743D0"/>
    <w:rsid w:val="00676EE9"/>
    <w:rsid w:val="00677BBA"/>
    <w:rsid w:val="00681820"/>
    <w:rsid w:val="00682370"/>
    <w:rsid w:val="00682E4E"/>
    <w:rsid w:val="006846DF"/>
    <w:rsid w:val="00684A76"/>
    <w:rsid w:val="00685FD3"/>
    <w:rsid w:val="00690176"/>
    <w:rsid w:val="006922EA"/>
    <w:rsid w:val="006924A4"/>
    <w:rsid w:val="00692C31"/>
    <w:rsid w:val="00692F06"/>
    <w:rsid w:val="00693409"/>
    <w:rsid w:val="00693B96"/>
    <w:rsid w:val="00694710"/>
    <w:rsid w:val="006950B7"/>
    <w:rsid w:val="00696A5C"/>
    <w:rsid w:val="006A005A"/>
    <w:rsid w:val="006A016B"/>
    <w:rsid w:val="006A02C9"/>
    <w:rsid w:val="006A0F5C"/>
    <w:rsid w:val="006A20B4"/>
    <w:rsid w:val="006A33DB"/>
    <w:rsid w:val="006A3AA0"/>
    <w:rsid w:val="006A3EC8"/>
    <w:rsid w:val="006A4CE9"/>
    <w:rsid w:val="006A54C2"/>
    <w:rsid w:val="006A55AC"/>
    <w:rsid w:val="006A76A7"/>
    <w:rsid w:val="006A78A6"/>
    <w:rsid w:val="006A7D48"/>
    <w:rsid w:val="006B173F"/>
    <w:rsid w:val="006B2301"/>
    <w:rsid w:val="006B26BC"/>
    <w:rsid w:val="006B323E"/>
    <w:rsid w:val="006B3ED0"/>
    <w:rsid w:val="006B3FF8"/>
    <w:rsid w:val="006B6766"/>
    <w:rsid w:val="006B6B41"/>
    <w:rsid w:val="006B7B3F"/>
    <w:rsid w:val="006B7B4E"/>
    <w:rsid w:val="006C2908"/>
    <w:rsid w:val="006C3AB2"/>
    <w:rsid w:val="006C3FE7"/>
    <w:rsid w:val="006C49E9"/>
    <w:rsid w:val="006C50FB"/>
    <w:rsid w:val="006C60AE"/>
    <w:rsid w:val="006D0FC9"/>
    <w:rsid w:val="006D1FF1"/>
    <w:rsid w:val="006D4003"/>
    <w:rsid w:val="006D42EB"/>
    <w:rsid w:val="006D7E63"/>
    <w:rsid w:val="006D7F93"/>
    <w:rsid w:val="006E0067"/>
    <w:rsid w:val="006E06F6"/>
    <w:rsid w:val="006E2979"/>
    <w:rsid w:val="006E2AD9"/>
    <w:rsid w:val="006E3390"/>
    <w:rsid w:val="006E3B41"/>
    <w:rsid w:val="006E3F74"/>
    <w:rsid w:val="006E4319"/>
    <w:rsid w:val="006E493F"/>
    <w:rsid w:val="006F13A3"/>
    <w:rsid w:val="006F3545"/>
    <w:rsid w:val="006F3620"/>
    <w:rsid w:val="006F3D5F"/>
    <w:rsid w:val="006F3EBC"/>
    <w:rsid w:val="006F419D"/>
    <w:rsid w:val="006F45EE"/>
    <w:rsid w:val="006F5219"/>
    <w:rsid w:val="006F737B"/>
    <w:rsid w:val="006F7439"/>
    <w:rsid w:val="006F747A"/>
    <w:rsid w:val="007004BB"/>
    <w:rsid w:val="00701125"/>
    <w:rsid w:val="0070190E"/>
    <w:rsid w:val="00701DA0"/>
    <w:rsid w:val="007020D8"/>
    <w:rsid w:val="00703860"/>
    <w:rsid w:val="00703A0A"/>
    <w:rsid w:val="00703C01"/>
    <w:rsid w:val="00705925"/>
    <w:rsid w:val="00706407"/>
    <w:rsid w:val="00707D8E"/>
    <w:rsid w:val="00710EFF"/>
    <w:rsid w:val="007116E2"/>
    <w:rsid w:val="00712676"/>
    <w:rsid w:val="00712F13"/>
    <w:rsid w:val="00713970"/>
    <w:rsid w:val="00715A1A"/>
    <w:rsid w:val="007163DF"/>
    <w:rsid w:val="00716760"/>
    <w:rsid w:val="0072079B"/>
    <w:rsid w:val="00721110"/>
    <w:rsid w:val="0072125C"/>
    <w:rsid w:val="0072297D"/>
    <w:rsid w:val="00723F65"/>
    <w:rsid w:val="0072437F"/>
    <w:rsid w:val="0072466C"/>
    <w:rsid w:val="0072581A"/>
    <w:rsid w:val="0072596B"/>
    <w:rsid w:val="00725E07"/>
    <w:rsid w:val="00727250"/>
    <w:rsid w:val="007275B4"/>
    <w:rsid w:val="0073016A"/>
    <w:rsid w:val="007305BA"/>
    <w:rsid w:val="00734F27"/>
    <w:rsid w:val="007367B2"/>
    <w:rsid w:val="00736AB0"/>
    <w:rsid w:val="00740D87"/>
    <w:rsid w:val="00744840"/>
    <w:rsid w:val="007457D4"/>
    <w:rsid w:val="00745A10"/>
    <w:rsid w:val="00747EF7"/>
    <w:rsid w:val="0075169F"/>
    <w:rsid w:val="00751A87"/>
    <w:rsid w:val="00752C1F"/>
    <w:rsid w:val="007530D6"/>
    <w:rsid w:val="0075333D"/>
    <w:rsid w:val="007543A5"/>
    <w:rsid w:val="007550FB"/>
    <w:rsid w:val="00755A8D"/>
    <w:rsid w:val="00756012"/>
    <w:rsid w:val="00760C29"/>
    <w:rsid w:val="007611DB"/>
    <w:rsid w:val="00761713"/>
    <w:rsid w:val="0076316F"/>
    <w:rsid w:val="00766577"/>
    <w:rsid w:val="00766A5D"/>
    <w:rsid w:val="00767526"/>
    <w:rsid w:val="00767F14"/>
    <w:rsid w:val="00770C48"/>
    <w:rsid w:val="00771277"/>
    <w:rsid w:val="0077375A"/>
    <w:rsid w:val="007760BF"/>
    <w:rsid w:val="007763C2"/>
    <w:rsid w:val="00776BB1"/>
    <w:rsid w:val="0077755C"/>
    <w:rsid w:val="00777FF7"/>
    <w:rsid w:val="007805D6"/>
    <w:rsid w:val="00780A78"/>
    <w:rsid w:val="00780ACD"/>
    <w:rsid w:val="00782701"/>
    <w:rsid w:val="00782A55"/>
    <w:rsid w:val="007832CF"/>
    <w:rsid w:val="00784DDA"/>
    <w:rsid w:val="0078510D"/>
    <w:rsid w:val="00785756"/>
    <w:rsid w:val="00785AF5"/>
    <w:rsid w:val="007869E8"/>
    <w:rsid w:val="0078746C"/>
    <w:rsid w:val="00791A86"/>
    <w:rsid w:val="00791F88"/>
    <w:rsid w:val="007922F6"/>
    <w:rsid w:val="00792486"/>
    <w:rsid w:val="007937FD"/>
    <w:rsid w:val="007950A4"/>
    <w:rsid w:val="00796C66"/>
    <w:rsid w:val="00796E7E"/>
    <w:rsid w:val="0079764E"/>
    <w:rsid w:val="007A0C2A"/>
    <w:rsid w:val="007A0CE9"/>
    <w:rsid w:val="007A11F0"/>
    <w:rsid w:val="007A1842"/>
    <w:rsid w:val="007A4935"/>
    <w:rsid w:val="007A4BB4"/>
    <w:rsid w:val="007B075A"/>
    <w:rsid w:val="007B193B"/>
    <w:rsid w:val="007B1E2E"/>
    <w:rsid w:val="007B398F"/>
    <w:rsid w:val="007B4A2B"/>
    <w:rsid w:val="007B64E9"/>
    <w:rsid w:val="007B6591"/>
    <w:rsid w:val="007B6951"/>
    <w:rsid w:val="007B7424"/>
    <w:rsid w:val="007C4C55"/>
    <w:rsid w:val="007D1215"/>
    <w:rsid w:val="007D15C5"/>
    <w:rsid w:val="007D1DF0"/>
    <w:rsid w:val="007D295B"/>
    <w:rsid w:val="007D3E02"/>
    <w:rsid w:val="007D46FE"/>
    <w:rsid w:val="007D4D44"/>
    <w:rsid w:val="007D51E9"/>
    <w:rsid w:val="007D61F4"/>
    <w:rsid w:val="007D700E"/>
    <w:rsid w:val="007D7CE3"/>
    <w:rsid w:val="007E0517"/>
    <w:rsid w:val="007E1124"/>
    <w:rsid w:val="007E3649"/>
    <w:rsid w:val="007E3A17"/>
    <w:rsid w:val="007E431A"/>
    <w:rsid w:val="007E5EF0"/>
    <w:rsid w:val="007F0C59"/>
    <w:rsid w:val="007F1287"/>
    <w:rsid w:val="007F2AD0"/>
    <w:rsid w:val="007F30FB"/>
    <w:rsid w:val="007F3540"/>
    <w:rsid w:val="007F3A50"/>
    <w:rsid w:val="007F5AF3"/>
    <w:rsid w:val="007F5B6F"/>
    <w:rsid w:val="007F70C4"/>
    <w:rsid w:val="007F750F"/>
    <w:rsid w:val="00802191"/>
    <w:rsid w:val="00802508"/>
    <w:rsid w:val="00803B0D"/>
    <w:rsid w:val="00803C48"/>
    <w:rsid w:val="008042E6"/>
    <w:rsid w:val="0080652C"/>
    <w:rsid w:val="008065FD"/>
    <w:rsid w:val="00807C7B"/>
    <w:rsid w:val="00807F35"/>
    <w:rsid w:val="00813925"/>
    <w:rsid w:val="008143AD"/>
    <w:rsid w:val="008155AD"/>
    <w:rsid w:val="00815CF5"/>
    <w:rsid w:val="008161A9"/>
    <w:rsid w:val="0081681C"/>
    <w:rsid w:val="008207EF"/>
    <w:rsid w:val="00821E9D"/>
    <w:rsid w:val="00822461"/>
    <w:rsid w:val="008231B9"/>
    <w:rsid w:val="00823B6E"/>
    <w:rsid w:val="00824717"/>
    <w:rsid w:val="008261EF"/>
    <w:rsid w:val="0082718D"/>
    <w:rsid w:val="0083009A"/>
    <w:rsid w:val="008300EB"/>
    <w:rsid w:val="00830ED5"/>
    <w:rsid w:val="0083244C"/>
    <w:rsid w:val="008326C9"/>
    <w:rsid w:val="00834C94"/>
    <w:rsid w:val="00837318"/>
    <w:rsid w:val="0084419B"/>
    <w:rsid w:val="00844DF7"/>
    <w:rsid w:val="00845493"/>
    <w:rsid w:val="008455D6"/>
    <w:rsid w:val="008473BB"/>
    <w:rsid w:val="00853D52"/>
    <w:rsid w:val="00856A48"/>
    <w:rsid w:val="00861084"/>
    <w:rsid w:val="00862AFC"/>
    <w:rsid w:val="00862E52"/>
    <w:rsid w:val="00863D86"/>
    <w:rsid w:val="00863FEF"/>
    <w:rsid w:val="00864723"/>
    <w:rsid w:val="00864BDB"/>
    <w:rsid w:val="00864D83"/>
    <w:rsid w:val="00865527"/>
    <w:rsid w:val="00865A48"/>
    <w:rsid w:val="008678E6"/>
    <w:rsid w:val="00873623"/>
    <w:rsid w:val="00873B49"/>
    <w:rsid w:val="0087428B"/>
    <w:rsid w:val="0087432F"/>
    <w:rsid w:val="008763C2"/>
    <w:rsid w:val="008811DF"/>
    <w:rsid w:val="00882317"/>
    <w:rsid w:val="008877A0"/>
    <w:rsid w:val="00891821"/>
    <w:rsid w:val="00893433"/>
    <w:rsid w:val="00893E8D"/>
    <w:rsid w:val="00894948"/>
    <w:rsid w:val="00895117"/>
    <w:rsid w:val="00896BB2"/>
    <w:rsid w:val="0089730A"/>
    <w:rsid w:val="008A072C"/>
    <w:rsid w:val="008A2A70"/>
    <w:rsid w:val="008A2F18"/>
    <w:rsid w:val="008A4C0E"/>
    <w:rsid w:val="008A4F3F"/>
    <w:rsid w:val="008A4FC1"/>
    <w:rsid w:val="008A57F5"/>
    <w:rsid w:val="008A6A10"/>
    <w:rsid w:val="008A6E12"/>
    <w:rsid w:val="008A7136"/>
    <w:rsid w:val="008B18FD"/>
    <w:rsid w:val="008B45CE"/>
    <w:rsid w:val="008B531E"/>
    <w:rsid w:val="008C174C"/>
    <w:rsid w:val="008C185E"/>
    <w:rsid w:val="008C2A37"/>
    <w:rsid w:val="008C3F53"/>
    <w:rsid w:val="008C4C7C"/>
    <w:rsid w:val="008C71E2"/>
    <w:rsid w:val="008D0872"/>
    <w:rsid w:val="008D1368"/>
    <w:rsid w:val="008D1529"/>
    <w:rsid w:val="008D192A"/>
    <w:rsid w:val="008D27EA"/>
    <w:rsid w:val="008D2A41"/>
    <w:rsid w:val="008D3ECC"/>
    <w:rsid w:val="008D52E9"/>
    <w:rsid w:val="008D58B5"/>
    <w:rsid w:val="008D6221"/>
    <w:rsid w:val="008D6950"/>
    <w:rsid w:val="008D69A6"/>
    <w:rsid w:val="008D6F0A"/>
    <w:rsid w:val="008D78EF"/>
    <w:rsid w:val="008E3089"/>
    <w:rsid w:val="008E3110"/>
    <w:rsid w:val="008E3294"/>
    <w:rsid w:val="008E5547"/>
    <w:rsid w:val="008E5F84"/>
    <w:rsid w:val="008E693B"/>
    <w:rsid w:val="008E6FA8"/>
    <w:rsid w:val="008F006F"/>
    <w:rsid w:val="008F102A"/>
    <w:rsid w:val="008F1420"/>
    <w:rsid w:val="008F33ED"/>
    <w:rsid w:val="008F40BE"/>
    <w:rsid w:val="008F4490"/>
    <w:rsid w:val="00900367"/>
    <w:rsid w:val="009005BD"/>
    <w:rsid w:val="009006D8"/>
    <w:rsid w:val="00900A32"/>
    <w:rsid w:val="00902188"/>
    <w:rsid w:val="0090226B"/>
    <w:rsid w:val="0090395F"/>
    <w:rsid w:val="00903DD9"/>
    <w:rsid w:val="009057F5"/>
    <w:rsid w:val="009058BA"/>
    <w:rsid w:val="00906D8C"/>
    <w:rsid w:val="009101BB"/>
    <w:rsid w:val="009103D9"/>
    <w:rsid w:val="00915043"/>
    <w:rsid w:val="00920E07"/>
    <w:rsid w:val="00923F1C"/>
    <w:rsid w:val="00926D76"/>
    <w:rsid w:val="009304DC"/>
    <w:rsid w:val="009314CB"/>
    <w:rsid w:val="00931B65"/>
    <w:rsid w:val="00931B66"/>
    <w:rsid w:val="00932300"/>
    <w:rsid w:val="00932613"/>
    <w:rsid w:val="009348AB"/>
    <w:rsid w:val="00935D34"/>
    <w:rsid w:val="009367FF"/>
    <w:rsid w:val="00936CAC"/>
    <w:rsid w:val="00937D61"/>
    <w:rsid w:val="009443F3"/>
    <w:rsid w:val="00944812"/>
    <w:rsid w:val="00946389"/>
    <w:rsid w:val="0094786B"/>
    <w:rsid w:val="00951E98"/>
    <w:rsid w:val="0095388F"/>
    <w:rsid w:val="00955C68"/>
    <w:rsid w:val="00956D83"/>
    <w:rsid w:val="0096006D"/>
    <w:rsid w:val="0096037F"/>
    <w:rsid w:val="00965243"/>
    <w:rsid w:val="009658C7"/>
    <w:rsid w:val="00965E58"/>
    <w:rsid w:val="00966080"/>
    <w:rsid w:val="00966232"/>
    <w:rsid w:val="00967EE9"/>
    <w:rsid w:val="009705EA"/>
    <w:rsid w:val="009709B4"/>
    <w:rsid w:val="009714DC"/>
    <w:rsid w:val="009718A0"/>
    <w:rsid w:val="00971D27"/>
    <w:rsid w:val="00972CAB"/>
    <w:rsid w:val="00973D7D"/>
    <w:rsid w:val="00975938"/>
    <w:rsid w:val="00977020"/>
    <w:rsid w:val="00982F62"/>
    <w:rsid w:val="00983DFB"/>
    <w:rsid w:val="0098497C"/>
    <w:rsid w:val="00985561"/>
    <w:rsid w:val="00987818"/>
    <w:rsid w:val="00992EF3"/>
    <w:rsid w:val="0099380A"/>
    <w:rsid w:val="0099626C"/>
    <w:rsid w:val="00997412"/>
    <w:rsid w:val="009A06D9"/>
    <w:rsid w:val="009A076B"/>
    <w:rsid w:val="009A0EAB"/>
    <w:rsid w:val="009A0FB9"/>
    <w:rsid w:val="009A11EE"/>
    <w:rsid w:val="009A30E3"/>
    <w:rsid w:val="009A395A"/>
    <w:rsid w:val="009A414E"/>
    <w:rsid w:val="009A4D35"/>
    <w:rsid w:val="009A4F59"/>
    <w:rsid w:val="009A5214"/>
    <w:rsid w:val="009A5DB2"/>
    <w:rsid w:val="009A63D9"/>
    <w:rsid w:val="009A7402"/>
    <w:rsid w:val="009A7454"/>
    <w:rsid w:val="009B06A6"/>
    <w:rsid w:val="009B0715"/>
    <w:rsid w:val="009B43AE"/>
    <w:rsid w:val="009B4E9B"/>
    <w:rsid w:val="009B7F0D"/>
    <w:rsid w:val="009C0091"/>
    <w:rsid w:val="009C027D"/>
    <w:rsid w:val="009C0E34"/>
    <w:rsid w:val="009C0F5A"/>
    <w:rsid w:val="009C2273"/>
    <w:rsid w:val="009C2E77"/>
    <w:rsid w:val="009C333C"/>
    <w:rsid w:val="009C3907"/>
    <w:rsid w:val="009C3948"/>
    <w:rsid w:val="009C482F"/>
    <w:rsid w:val="009C4CD8"/>
    <w:rsid w:val="009C4ED0"/>
    <w:rsid w:val="009C527F"/>
    <w:rsid w:val="009C5937"/>
    <w:rsid w:val="009C7941"/>
    <w:rsid w:val="009D0E5C"/>
    <w:rsid w:val="009D100B"/>
    <w:rsid w:val="009D138B"/>
    <w:rsid w:val="009D190F"/>
    <w:rsid w:val="009D2018"/>
    <w:rsid w:val="009D27BF"/>
    <w:rsid w:val="009D3A4C"/>
    <w:rsid w:val="009D4551"/>
    <w:rsid w:val="009D5C5D"/>
    <w:rsid w:val="009D6BE1"/>
    <w:rsid w:val="009D7E6F"/>
    <w:rsid w:val="009E01E1"/>
    <w:rsid w:val="009E06C3"/>
    <w:rsid w:val="009E1A1E"/>
    <w:rsid w:val="009E30DA"/>
    <w:rsid w:val="009E3AAC"/>
    <w:rsid w:val="009E402B"/>
    <w:rsid w:val="009E40E9"/>
    <w:rsid w:val="009E4386"/>
    <w:rsid w:val="009E4698"/>
    <w:rsid w:val="009E5472"/>
    <w:rsid w:val="009E5DE2"/>
    <w:rsid w:val="009E6E65"/>
    <w:rsid w:val="009E7956"/>
    <w:rsid w:val="009F07E1"/>
    <w:rsid w:val="009F1291"/>
    <w:rsid w:val="009F3213"/>
    <w:rsid w:val="009F4B06"/>
    <w:rsid w:val="009F4DF2"/>
    <w:rsid w:val="009F5261"/>
    <w:rsid w:val="009F7AEB"/>
    <w:rsid w:val="00A0080C"/>
    <w:rsid w:val="00A00C5E"/>
    <w:rsid w:val="00A01629"/>
    <w:rsid w:val="00A01CF5"/>
    <w:rsid w:val="00A01FDD"/>
    <w:rsid w:val="00A0222C"/>
    <w:rsid w:val="00A027B1"/>
    <w:rsid w:val="00A02CAE"/>
    <w:rsid w:val="00A03D0E"/>
    <w:rsid w:val="00A10A7A"/>
    <w:rsid w:val="00A11031"/>
    <w:rsid w:val="00A118B9"/>
    <w:rsid w:val="00A11FA3"/>
    <w:rsid w:val="00A125B3"/>
    <w:rsid w:val="00A12B22"/>
    <w:rsid w:val="00A144AF"/>
    <w:rsid w:val="00A1625F"/>
    <w:rsid w:val="00A17C5E"/>
    <w:rsid w:val="00A239B7"/>
    <w:rsid w:val="00A250D4"/>
    <w:rsid w:val="00A2539B"/>
    <w:rsid w:val="00A25906"/>
    <w:rsid w:val="00A26F05"/>
    <w:rsid w:val="00A27828"/>
    <w:rsid w:val="00A27CC2"/>
    <w:rsid w:val="00A304A3"/>
    <w:rsid w:val="00A30798"/>
    <w:rsid w:val="00A310F6"/>
    <w:rsid w:val="00A315D0"/>
    <w:rsid w:val="00A316C4"/>
    <w:rsid w:val="00A31A85"/>
    <w:rsid w:val="00A31EE1"/>
    <w:rsid w:val="00A328B8"/>
    <w:rsid w:val="00A354AB"/>
    <w:rsid w:val="00A35C48"/>
    <w:rsid w:val="00A3603B"/>
    <w:rsid w:val="00A37972"/>
    <w:rsid w:val="00A37A57"/>
    <w:rsid w:val="00A401ED"/>
    <w:rsid w:val="00A41674"/>
    <w:rsid w:val="00A422B1"/>
    <w:rsid w:val="00A42592"/>
    <w:rsid w:val="00A42C2A"/>
    <w:rsid w:val="00A432A5"/>
    <w:rsid w:val="00A44018"/>
    <w:rsid w:val="00A44C46"/>
    <w:rsid w:val="00A44EF5"/>
    <w:rsid w:val="00A44F35"/>
    <w:rsid w:val="00A457ED"/>
    <w:rsid w:val="00A45C89"/>
    <w:rsid w:val="00A45C9A"/>
    <w:rsid w:val="00A473E9"/>
    <w:rsid w:val="00A4770A"/>
    <w:rsid w:val="00A47880"/>
    <w:rsid w:val="00A47C6E"/>
    <w:rsid w:val="00A50676"/>
    <w:rsid w:val="00A509C7"/>
    <w:rsid w:val="00A519DD"/>
    <w:rsid w:val="00A52034"/>
    <w:rsid w:val="00A5244D"/>
    <w:rsid w:val="00A540CF"/>
    <w:rsid w:val="00A55816"/>
    <w:rsid w:val="00A5586B"/>
    <w:rsid w:val="00A55E5F"/>
    <w:rsid w:val="00A561CA"/>
    <w:rsid w:val="00A566C8"/>
    <w:rsid w:val="00A5699C"/>
    <w:rsid w:val="00A573FB"/>
    <w:rsid w:val="00A57FDC"/>
    <w:rsid w:val="00A611C2"/>
    <w:rsid w:val="00A613F3"/>
    <w:rsid w:val="00A629AD"/>
    <w:rsid w:val="00A63058"/>
    <w:rsid w:val="00A65677"/>
    <w:rsid w:val="00A65841"/>
    <w:rsid w:val="00A659AE"/>
    <w:rsid w:val="00A703A7"/>
    <w:rsid w:val="00A713F0"/>
    <w:rsid w:val="00A7213A"/>
    <w:rsid w:val="00A73111"/>
    <w:rsid w:val="00A7331C"/>
    <w:rsid w:val="00A73C82"/>
    <w:rsid w:val="00A73E87"/>
    <w:rsid w:val="00A748C7"/>
    <w:rsid w:val="00A81AEE"/>
    <w:rsid w:val="00A820DD"/>
    <w:rsid w:val="00A83008"/>
    <w:rsid w:val="00A8504E"/>
    <w:rsid w:val="00A85B8B"/>
    <w:rsid w:val="00A8745A"/>
    <w:rsid w:val="00A878D7"/>
    <w:rsid w:val="00A91ABB"/>
    <w:rsid w:val="00A92FB8"/>
    <w:rsid w:val="00A93561"/>
    <w:rsid w:val="00A93759"/>
    <w:rsid w:val="00A937CD"/>
    <w:rsid w:val="00A95DC7"/>
    <w:rsid w:val="00A96A23"/>
    <w:rsid w:val="00A974F6"/>
    <w:rsid w:val="00A976AD"/>
    <w:rsid w:val="00A9786B"/>
    <w:rsid w:val="00AA00A1"/>
    <w:rsid w:val="00AA19FC"/>
    <w:rsid w:val="00AA1BA0"/>
    <w:rsid w:val="00AA2159"/>
    <w:rsid w:val="00AA450A"/>
    <w:rsid w:val="00AA4717"/>
    <w:rsid w:val="00AA5A9C"/>
    <w:rsid w:val="00AA60C8"/>
    <w:rsid w:val="00AA60EF"/>
    <w:rsid w:val="00AA6921"/>
    <w:rsid w:val="00AA6B09"/>
    <w:rsid w:val="00AA6C83"/>
    <w:rsid w:val="00AA742C"/>
    <w:rsid w:val="00AB014F"/>
    <w:rsid w:val="00AB2C27"/>
    <w:rsid w:val="00AB4D8C"/>
    <w:rsid w:val="00AB5B05"/>
    <w:rsid w:val="00AB7F05"/>
    <w:rsid w:val="00AC238D"/>
    <w:rsid w:val="00AC335D"/>
    <w:rsid w:val="00AC643E"/>
    <w:rsid w:val="00AD1F75"/>
    <w:rsid w:val="00AD36A6"/>
    <w:rsid w:val="00AD3BD0"/>
    <w:rsid w:val="00AD41D2"/>
    <w:rsid w:val="00AD4F86"/>
    <w:rsid w:val="00AD50AE"/>
    <w:rsid w:val="00AD5D04"/>
    <w:rsid w:val="00AD600D"/>
    <w:rsid w:val="00AD6F0A"/>
    <w:rsid w:val="00AD7921"/>
    <w:rsid w:val="00AE0E4F"/>
    <w:rsid w:val="00AE1362"/>
    <w:rsid w:val="00AE2221"/>
    <w:rsid w:val="00AE2973"/>
    <w:rsid w:val="00AE3769"/>
    <w:rsid w:val="00AE4E10"/>
    <w:rsid w:val="00AE5A14"/>
    <w:rsid w:val="00AE6E44"/>
    <w:rsid w:val="00AF11D8"/>
    <w:rsid w:val="00AF2460"/>
    <w:rsid w:val="00AF3B6D"/>
    <w:rsid w:val="00AF6BE2"/>
    <w:rsid w:val="00B0064D"/>
    <w:rsid w:val="00B010B6"/>
    <w:rsid w:val="00B01ABD"/>
    <w:rsid w:val="00B01AE2"/>
    <w:rsid w:val="00B02322"/>
    <w:rsid w:val="00B0627C"/>
    <w:rsid w:val="00B06ADE"/>
    <w:rsid w:val="00B07759"/>
    <w:rsid w:val="00B10290"/>
    <w:rsid w:val="00B10371"/>
    <w:rsid w:val="00B103C4"/>
    <w:rsid w:val="00B114FB"/>
    <w:rsid w:val="00B12518"/>
    <w:rsid w:val="00B15391"/>
    <w:rsid w:val="00B159FF"/>
    <w:rsid w:val="00B1748E"/>
    <w:rsid w:val="00B20FC3"/>
    <w:rsid w:val="00B215C5"/>
    <w:rsid w:val="00B21CA4"/>
    <w:rsid w:val="00B21F15"/>
    <w:rsid w:val="00B21FA0"/>
    <w:rsid w:val="00B237F8"/>
    <w:rsid w:val="00B23C9E"/>
    <w:rsid w:val="00B246E3"/>
    <w:rsid w:val="00B25A9C"/>
    <w:rsid w:val="00B25DAC"/>
    <w:rsid w:val="00B26CF9"/>
    <w:rsid w:val="00B26EBF"/>
    <w:rsid w:val="00B30E75"/>
    <w:rsid w:val="00B319FF"/>
    <w:rsid w:val="00B3293A"/>
    <w:rsid w:val="00B331EA"/>
    <w:rsid w:val="00B33BA4"/>
    <w:rsid w:val="00B33D8B"/>
    <w:rsid w:val="00B33DDC"/>
    <w:rsid w:val="00B365E6"/>
    <w:rsid w:val="00B36F25"/>
    <w:rsid w:val="00B3704A"/>
    <w:rsid w:val="00B372A5"/>
    <w:rsid w:val="00B40512"/>
    <w:rsid w:val="00B41E72"/>
    <w:rsid w:val="00B4265C"/>
    <w:rsid w:val="00B43B76"/>
    <w:rsid w:val="00B44532"/>
    <w:rsid w:val="00B461AB"/>
    <w:rsid w:val="00B4631F"/>
    <w:rsid w:val="00B47944"/>
    <w:rsid w:val="00B5143F"/>
    <w:rsid w:val="00B51786"/>
    <w:rsid w:val="00B51851"/>
    <w:rsid w:val="00B53998"/>
    <w:rsid w:val="00B54988"/>
    <w:rsid w:val="00B55407"/>
    <w:rsid w:val="00B5559E"/>
    <w:rsid w:val="00B56CE1"/>
    <w:rsid w:val="00B57091"/>
    <w:rsid w:val="00B571DC"/>
    <w:rsid w:val="00B57D56"/>
    <w:rsid w:val="00B60582"/>
    <w:rsid w:val="00B61062"/>
    <w:rsid w:val="00B611BB"/>
    <w:rsid w:val="00B627D8"/>
    <w:rsid w:val="00B66DBC"/>
    <w:rsid w:val="00B672A8"/>
    <w:rsid w:val="00B7037D"/>
    <w:rsid w:val="00B71A92"/>
    <w:rsid w:val="00B7444C"/>
    <w:rsid w:val="00B74CFF"/>
    <w:rsid w:val="00B761C6"/>
    <w:rsid w:val="00B7624C"/>
    <w:rsid w:val="00B7707B"/>
    <w:rsid w:val="00B77880"/>
    <w:rsid w:val="00B801EA"/>
    <w:rsid w:val="00B80530"/>
    <w:rsid w:val="00B813FB"/>
    <w:rsid w:val="00B82025"/>
    <w:rsid w:val="00B824D0"/>
    <w:rsid w:val="00B8358B"/>
    <w:rsid w:val="00B854F3"/>
    <w:rsid w:val="00B865F7"/>
    <w:rsid w:val="00B86CBE"/>
    <w:rsid w:val="00B86E80"/>
    <w:rsid w:val="00B87093"/>
    <w:rsid w:val="00B93051"/>
    <w:rsid w:val="00B94892"/>
    <w:rsid w:val="00B94A45"/>
    <w:rsid w:val="00B95B72"/>
    <w:rsid w:val="00B96CE6"/>
    <w:rsid w:val="00B9773E"/>
    <w:rsid w:val="00B97F57"/>
    <w:rsid w:val="00BA0160"/>
    <w:rsid w:val="00BA08AF"/>
    <w:rsid w:val="00BA1047"/>
    <w:rsid w:val="00BA138D"/>
    <w:rsid w:val="00BA1556"/>
    <w:rsid w:val="00BA2908"/>
    <w:rsid w:val="00BA2BB6"/>
    <w:rsid w:val="00BA3F9E"/>
    <w:rsid w:val="00BA4DFB"/>
    <w:rsid w:val="00BA7887"/>
    <w:rsid w:val="00BA7FE0"/>
    <w:rsid w:val="00BB0627"/>
    <w:rsid w:val="00BB08F2"/>
    <w:rsid w:val="00BB1282"/>
    <w:rsid w:val="00BB137C"/>
    <w:rsid w:val="00BB2EFF"/>
    <w:rsid w:val="00BB3427"/>
    <w:rsid w:val="00BB3716"/>
    <w:rsid w:val="00BB381D"/>
    <w:rsid w:val="00BB4000"/>
    <w:rsid w:val="00BB541D"/>
    <w:rsid w:val="00BB64BA"/>
    <w:rsid w:val="00BB70D5"/>
    <w:rsid w:val="00BB7408"/>
    <w:rsid w:val="00BC14EC"/>
    <w:rsid w:val="00BC1BC0"/>
    <w:rsid w:val="00BC24F7"/>
    <w:rsid w:val="00BC3016"/>
    <w:rsid w:val="00BC5820"/>
    <w:rsid w:val="00BD04BF"/>
    <w:rsid w:val="00BD0BB8"/>
    <w:rsid w:val="00BD1673"/>
    <w:rsid w:val="00BD22B2"/>
    <w:rsid w:val="00BD396F"/>
    <w:rsid w:val="00BD4D7A"/>
    <w:rsid w:val="00BD678C"/>
    <w:rsid w:val="00BE1CFC"/>
    <w:rsid w:val="00BE237F"/>
    <w:rsid w:val="00BE243E"/>
    <w:rsid w:val="00BE31DC"/>
    <w:rsid w:val="00BE552B"/>
    <w:rsid w:val="00BE5FA7"/>
    <w:rsid w:val="00BE618C"/>
    <w:rsid w:val="00BE6E3F"/>
    <w:rsid w:val="00BE701C"/>
    <w:rsid w:val="00BF020B"/>
    <w:rsid w:val="00BF06B4"/>
    <w:rsid w:val="00BF0DC4"/>
    <w:rsid w:val="00BF2963"/>
    <w:rsid w:val="00BF3AAB"/>
    <w:rsid w:val="00BF3FD0"/>
    <w:rsid w:val="00BF411A"/>
    <w:rsid w:val="00BF4BBA"/>
    <w:rsid w:val="00BF5FBD"/>
    <w:rsid w:val="00BF64EE"/>
    <w:rsid w:val="00BF65BF"/>
    <w:rsid w:val="00C00052"/>
    <w:rsid w:val="00C022EB"/>
    <w:rsid w:val="00C027DB"/>
    <w:rsid w:val="00C03060"/>
    <w:rsid w:val="00C03655"/>
    <w:rsid w:val="00C04CD7"/>
    <w:rsid w:val="00C052BE"/>
    <w:rsid w:val="00C06439"/>
    <w:rsid w:val="00C07414"/>
    <w:rsid w:val="00C07ED9"/>
    <w:rsid w:val="00C10E31"/>
    <w:rsid w:val="00C121F1"/>
    <w:rsid w:val="00C1226C"/>
    <w:rsid w:val="00C12434"/>
    <w:rsid w:val="00C13D63"/>
    <w:rsid w:val="00C15439"/>
    <w:rsid w:val="00C160ED"/>
    <w:rsid w:val="00C16845"/>
    <w:rsid w:val="00C20AA2"/>
    <w:rsid w:val="00C21C0D"/>
    <w:rsid w:val="00C220EE"/>
    <w:rsid w:val="00C22CBB"/>
    <w:rsid w:val="00C250E9"/>
    <w:rsid w:val="00C251E5"/>
    <w:rsid w:val="00C25213"/>
    <w:rsid w:val="00C25434"/>
    <w:rsid w:val="00C25459"/>
    <w:rsid w:val="00C261DA"/>
    <w:rsid w:val="00C26252"/>
    <w:rsid w:val="00C27F4E"/>
    <w:rsid w:val="00C30D71"/>
    <w:rsid w:val="00C3164C"/>
    <w:rsid w:val="00C31AB6"/>
    <w:rsid w:val="00C31F82"/>
    <w:rsid w:val="00C3223F"/>
    <w:rsid w:val="00C32A70"/>
    <w:rsid w:val="00C32DC5"/>
    <w:rsid w:val="00C33762"/>
    <w:rsid w:val="00C34611"/>
    <w:rsid w:val="00C34A0F"/>
    <w:rsid w:val="00C36A35"/>
    <w:rsid w:val="00C36EC7"/>
    <w:rsid w:val="00C40384"/>
    <w:rsid w:val="00C407CA"/>
    <w:rsid w:val="00C40F7B"/>
    <w:rsid w:val="00C4177E"/>
    <w:rsid w:val="00C4199B"/>
    <w:rsid w:val="00C42870"/>
    <w:rsid w:val="00C42B1B"/>
    <w:rsid w:val="00C43286"/>
    <w:rsid w:val="00C4444F"/>
    <w:rsid w:val="00C4542D"/>
    <w:rsid w:val="00C46ADC"/>
    <w:rsid w:val="00C46D62"/>
    <w:rsid w:val="00C500EA"/>
    <w:rsid w:val="00C521E9"/>
    <w:rsid w:val="00C53EEA"/>
    <w:rsid w:val="00C54542"/>
    <w:rsid w:val="00C548FD"/>
    <w:rsid w:val="00C56750"/>
    <w:rsid w:val="00C56A52"/>
    <w:rsid w:val="00C6052C"/>
    <w:rsid w:val="00C628F8"/>
    <w:rsid w:val="00C62E1A"/>
    <w:rsid w:val="00C62E25"/>
    <w:rsid w:val="00C63D28"/>
    <w:rsid w:val="00C63DF4"/>
    <w:rsid w:val="00C63F04"/>
    <w:rsid w:val="00C642F3"/>
    <w:rsid w:val="00C64558"/>
    <w:rsid w:val="00C6489E"/>
    <w:rsid w:val="00C65428"/>
    <w:rsid w:val="00C67D0D"/>
    <w:rsid w:val="00C72355"/>
    <w:rsid w:val="00C725B0"/>
    <w:rsid w:val="00C730F8"/>
    <w:rsid w:val="00C734F6"/>
    <w:rsid w:val="00C73744"/>
    <w:rsid w:val="00C743D2"/>
    <w:rsid w:val="00C7460F"/>
    <w:rsid w:val="00C749B7"/>
    <w:rsid w:val="00C74F6A"/>
    <w:rsid w:val="00C75983"/>
    <w:rsid w:val="00C760F0"/>
    <w:rsid w:val="00C76E55"/>
    <w:rsid w:val="00C820B4"/>
    <w:rsid w:val="00C82815"/>
    <w:rsid w:val="00C835C1"/>
    <w:rsid w:val="00C83923"/>
    <w:rsid w:val="00C84405"/>
    <w:rsid w:val="00C846E1"/>
    <w:rsid w:val="00C87779"/>
    <w:rsid w:val="00C879A8"/>
    <w:rsid w:val="00C87EEC"/>
    <w:rsid w:val="00C90298"/>
    <w:rsid w:val="00C90587"/>
    <w:rsid w:val="00C90957"/>
    <w:rsid w:val="00C90C24"/>
    <w:rsid w:val="00C9114E"/>
    <w:rsid w:val="00C92E73"/>
    <w:rsid w:val="00C9431F"/>
    <w:rsid w:val="00C948E1"/>
    <w:rsid w:val="00C9495B"/>
    <w:rsid w:val="00C94B67"/>
    <w:rsid w:val="00C95F0E"/>
    <w:rsid w:val="00CA0DAD"/>
    <w:rsid w:val="00CA116B"/>
    <w:rsid w:val="00CA16D8"/>
    <w:rsid w:val="00CA18C0"/>
    <w:rsid w:val="00CA1CC2"/>
    <w:rsid w:val="00CA2BAB"/>
    <w:rsid w:val="00CA30DD"/>
    <w:rsid w:val="00CA3D3A"/>
    <w:rsid w:val="00CA4145"/>
    <w:rsid w:val="00CA4388"/>
    <w:rsid w:val="00CA4D11"/>
    <w:rsid w:val="00CB03B5"/>
    <w:rsid w:val="00CB04D7"/>
    <w:rsid w:val="00CB19D1"/>
    <w:rsid w:val="00CB28D9"/>
    <w:rsid w:val="00CB309A"/>
    <w:rsid w:val="00CB4590"/>
    <w:rsid w:val="00CC0AE9"/>
    <w:rsid w:val="00CC3FDC"/>
    <w:rsid w:val="00CC4F83"/>
    <w:rsid w:val="00CD0F5B"/>
    <w:rsid w:val="00CD157A"/>
    <w:rsid w:val="00CD1981"/>
    <w:rsid w:val="00CD2C55"/>
    <w:rsid w:val="00CD53F1"/>
    <w:rsid w:val="00CD5746"/>
    <w:rsid w:val="00CD6CA4"/>
    <w:rsid w:val="00CD780A"/>
    <w:rsid w:val="00CD79A0"/>
    <w:rsid w:val="00CD7F5E"/>
    <w:rsid w:val="00CE103E"/>
    <w:rsid w:val="00CE1165"/>
    <w:rsid w:val="00CE21A3"/>
    <w:rsid w:val="00CE24A6"/>
    <w:rsid w:val="00CE25F4"/>
    <w:rsid w:val="00CE2DD0"/>
    <w:rsid w:val="00CE4294"/>
    <w:rsid w:val="00CE6A42"/>
    <w:rsid w:val="00CE7364"/>
    <w:rsid w:val="00CF0D55"/>
    <w:rsid w:val="00CF2BC6"/>
    <w:rsid w:val="00CF3717"/>
    <w:rsid w:val="00CF3DE1"/>
    <w:rsid w:val="00CF3EE2"/>
    <w:rsid w:val="00CF4017"/>
    <w:rsid w:val="00CF491A"/>
    <w:rsid w:val="00CF5297"/>
    <w:rsid w:val="00CF567D"/>
    <w:rsid w:val="00CF7184"/>
    <w:rsid w:val="00D02154"/>
    <w:rsid w:val="00D02D47"/>
    <w:rsid w:val="00D04671"/>
    <w:rsid w:val="00D04687"/>
    <w:rsid w:val="00D04B12"/>
    <w:rsid w:val="00D0655B"/>
    <w:rsid w:val="00D06AC9"/>
    <w:rsid w:val="00D1021E"/>
    <w:rsid w:val="00D10572"/>
    <w:rsid w:val="00D11199"/>
    <w:rsid w:val="00D122CC"/>
    <w:rsid w:val="00D1252B"/>
    <w:rsid w:val="00D1324A"/>
    <w:rsid w:val="00D13295"/>
    <w:rsid w:val="00D134C7"/>
    <w:rsid w:val="00D13834"/>
    <w:rsid w:val="00D144A0"/>
    <w:rsid w:val="00D14D49"/>
    <w:rsid w:val="00D15F38"/>
    <w:rsid w:val="00D170B7"/>
    <w:rsid w:val="00D17D8E"/>
    <w:rsid w:val="00D21127"/>
    <w:rsid w:val="00D22DD7"/>
    <w:rsid w:val="00D23B1A"/>
    <w:rsid w:val="00D2483D"/>
    <w:rsid w:val="00D25550"/>
    <w:rsid w:val="00D26A39"/>
    <w:rsid w:val="00D27305"/>
    <w:rsid w:val="00D27A8B"/>
    <w:rsid w:val="00D3123E"/>
    <w:rsid w:val="00D316F4"/>
    <w:rsid w:val="00D31F7F"/>
    <w:rsid w:val="00D33F05"/>
    <w:rsid w:val="00D341BB"/>
    <w:rsid w:val="00D36957"/>
    <w:rsid w:val="00D37D02"/>
    <w:rsid w:val="00D40C22"/>
    <w:rsid w:val="00D412BC"/>
    <w:rsid w:val="00D42CF2"/>
    <w:rsid w:val="00D46AB8"/>
    <w:rsid w:val="00D50115"/>
    <w:rsid w:val="00D5256A"/>
    <w:rsid w:val="00D52D9E"/>
    <w:rsid w:val="00D540CE"/>
    <w:rsid w:val="00D60BDB"/>
    <w:rsid w:val="00D649E4"/>
    <w:rsid w:val="00D64CE0"/>
    <w:rsid w:val="00D651E5"/>
    <w:rsid w:val="00D652AE"/>
    <w:rsid w:val="00D66878"/>
    <w:rsid w:val="00D712DA"/>
    <w:rsid w:val="00D7176D"/>
    <w:rsid w:val="00D718C9"/>
    <w:rsid w:val="00D73044"/>
    <w:rsid w:val="00D736B5"/>
    <w:rsid w:val="00D73D5B"/>
    <w:rsid w:val="00D77421"/>
    <w:rsid w:val="00D77828"/>
    <w:rsid w:val="00D80EA7"/>
    <w:rsid w:val="00D8196B"/>
    <w:rsid w:val="00D81CC1"/>
    <w:rsid w:val="00D82E88"/>
    <w:rsid w:val="00D8410C"/>
    <w:rsid w:val="00D84A18"/>
    <w:rsid w:val="00D857B3"/>
    <w:rsid w:val="00D86984"/>
    <w:rsid w:val="00D902A0"/>
    <w:rsid w:val="00D91BBF"/>
    <w:rsid w:val="00D9505A"/>
    <w:rsid w:val="00D962C7"/>
    <w:rsid w:val="00D96A80"/>
    <w:rsid w:val="00D97A98"/>
    <w:rsid w:val="00DA03D9"/>
    <w:rsid w:val="00DA2DBA"/>
    <w:rsid w:val="00DA373E"/>
    <w:rsid w:val="00DA3B73"/>
    <w:rsid w:val="00DA518F"/>
    <w:rsid w:val="00DA5C84"/>
    <w:rsid w:val="00DA6187"/>
    <w:rsid w:val="00DA6B5D"/>
    <w:rsid w:val="00DA751B"/>
    <w:rsid w:val="00DB0859"/>
    <w:rsid w:val="00DB1306"/>
    <w:rsid w:val="00DB208E"/>
    <w:rsid w:val="00DB4F83"/>
    <w:rsid w:val="00DB607C"/>
    <w:rsid w:val="00DB6D73"/>
    <w:rsid w:val="00DC0CAF"/>
    <w:rsid w:val="00DC1071"/>
    <w:rsid w:val="00DC157F"/>
    <w:rsid w:val="00DC1C10"/>
    <w:rsid w:val="00DC1E9D"/>
    <w:rsid w:val="00DC2424"/>
    <w:rsid w:val="00DC4F8A"/>
    <w:rsid w:val="00DC5555"/>
    <w:rsid w:val="00DC7FF7"/>
    <w:rsid w:val="00DD0A8F"/>
    <w:rsid w:val="00DD2593"/>
    <w:rsid w:val="00DD35EB"/>
    <w:rsid w:val="00DD67C5"/>
    <w:rsid w:val="00DD79B0"/>
    <w:rsid w:val="00DE15BE"/>
    <w:rsid w:val="00DE36E6"/>
    <w:rsid w:val="00DE36F2"/>
    <w:rsid w:val="00DE403D"/>
    <w:rsid w:val="00DE43AA"/>
    <w:rsid w:val="00DE6F71"/>
    <w:rsid w:val="00DF013C"/>
    <w:rsid w:val="00DF1CF5"/>
    <w:rsid w:val="00DF2389"/>
    <w:rsid w:val="00DF35A1"/>
    <w:rsid w:val="00DF445B"/>
    <w:rsid w:val="00DF4F7A"/>
    <w:rsid w:val="00DF5009"/>
    <w:rsid w:val="00DF7FC0"/>
    <w:rsid w:val="00E0439E"/>
    <w:rsid w:val="00E048CA"/>
    <w:rsid w:val="00E05BDB"/>
    <w:rsid w:val="00E10223"/>
    <w:rsid w:val="00E10D27"/>
    <w:rsid w:val="00E127DB"/>
    <w:rsid w:val="00E13950"/>
    <w:rsid w:val="00E14ED9"/>
    <w:rsid w:val="00E15616"/>
    <w:rsid w:val="00E16BF8"/>
    <w:rsid w:val="00E172D1"/>
    <w:rsid w:val="00E20B67"/>
    <w:rsid w:val="00E22434"/>
    <w:rsid w:val="00E24B9A"/>
    <w:rsid w:val="00E25102"/>
    <w:rsid w:val="00E26C8A"/>
    <w:rsid w:val="00E326DD"/>
    <w:rsid w:val="00E34138"/>
    <w:rsid w:val="00E34BF0"/>
    <w:rsid w:val="00E42026"/>
    <w:rsid w:val="00E43689"/>
    <w:rsid w:val="00E454F5"/>
    <w:rsid w:val="00E462D6"/>
    <w:rsid w:val="00E46EE6"/>
    <w:rsid w:val="00E47314"/>
    <w:rsid w:val="00E473F4"/>
    <w:rsid w:val="00E4797F"/>
    <w:rsid w:val="00E47CF6"/>
    <w:rsid w:val="00E50C81"/>
    <w:rsid w:val="00E5359B"/>
    <w:rsid w:val="00E538D1"/>
    <w:rsid w:val="00E53BFB"/>
    <w:rsid w:val="00E5406F"/>
    <w:rsid w:val="00E5433C"/>
    <w:rsid w:val="00E54726"/>
    <w:rsid w:val="00E54C55"/>
    <w:rsid w:val="00E551BD"/>
    <w:rsid w:val="00E56657"/>
    <w:rsid w:val="00E56E29"/>
    <w:rsid w:val="00E6228B"/>
    <w:rsid w:val="00E62F68"/>
    <w:rsid w:val="00E665BB"/>
    <w:rsid w:val="00E67742"/>
    <w:rsid w:val="00E677DE"/>
    <w:rsid w:val="00E724ED"/>
    <w:rsid w:val="00E731EB"/>
    <w:rsid w:val="00E732B6"/>
    <w:rsid w:val="00E73897"/>
    <w:rsid w:val="00E74575"/>
    <w:rsid w:val="00E76AF8"/>
    <w:rsid w:val="00E76E51"/>
    <w:rsid w:val="00E80743"/>
    <w:rsid w:val="00E82CAB"/>
    <w:rsid w:val="00E82E37"/>
    <w:rsid w:val="00E836E6"/>
    <w:rsid w:val="00E85D27"/>
    <w:rsid w:val="00E86A71"/>
    <w:rsid w:val="00E904F1"/>
    <w:rsid w:val="00E92961"/>
    <w:rsid w:val="00E94561"/>
    <w:rsid w:val="00E94B49"/>
    <w:rsid w:val="00E95391"/>
    <w:rsid w:val="00E95886"/>
    <w:rsid w:val="00E95955"/>
    <w:rsid w:val="00E95A53"/>
    <w:rsid w:val="00E95CDE"/>
    <w:rsid w:val="00EA1677"/>
    <w:rsid w:val="00EA175D"/>
    <w:rsid w:val="00EA2443"/>
    <w:rsid w:val="00EA3968"/>
    <w:rsid w:val="00EA4839"/>
    <w:rsid w:val="00EA4E34"/>
    <w:rsid w:val="00EA5317"/>
    <w:rsid w:val="00EA6F4D"/>
    <w:rsid w:val="00EA731D"/>
    <w:rsid w:val="00EB00C0"/>
    <w:rsid w:val="00EB138C"/>
    <w:rsid w:val="00EB13AB"/>
    <w:rsid w:val="00EB26B2"/>
    <w:rsid w:val="00EB3E9B"/>
    <w:rsid w:val="00EB659C"/>
    <w:rsid w:val="00EB6A20"/>
    <w:rsid w:val="00EB7539"/>
    <w:rsid w:val="00EC0CB6"/>
    <w:rsid w:val="00EC2965"/>
    <w:rsid w:val="00EC32B0"/>
    <w:rsid w:val="00EC4805"/>
    <w:rsid w:val="00EC4E32"/>
    <w:rsid w:val="00EC5D33"/>
    <w:rsid w:val="00EC723A"/>
    <w:rsid w:val="00ED137A"/>
    <w:rsid w:val="00ED1BC7"/>
    <w:rsid w:val="00ED5FB6"/>
    <w:rsid w:val="00ED7352"/>
    <w:rsid w:val="00ED7CAE"/>
    <w:rsid w:val="00EE18C7"/>
    <w:rsid w:val="00EE2934"/>
    <w:rsid w:val="00EE351E"/>
    <w:rsid w:val="00EE6CA5"/>
    <w:rsid w:val="00EE785A"/>
    <w:rsid w:val="00EE7EFA"/>
    <w:rsid w:val="00EF0213"/>
    <w:rsid w:val="00EF2665"/>
    <w:rsid w:val="00EF302B"/>
    <w:rsid w:val="00EF4F94"/>
    <w:rsid w:val="00EF5412"/>
    <w:rsid w:val="00EF6F58"/>
    <w:rsid w:val="00EF740E"/>
    <w:rsid w:val="00F004B5"/>
    <w:rsid w:val="00F0052D"/>
    <w:rsid w:val="00F005EC"/>
    <w:rsid w:val="00F00B88"/>
    <w:rsid w:val="00F02009"/>
    <w:rsid w:val="00F03F20"/>
    <w:rsid w:val="00F07C39"/>
    <w:rsid w:val="00F102EB"/>
    <w:rsid w:val="00F10451"/>
    <w:rsid w:val="00F10F7A"/>
    <w:rsid w:val="00F114CD"/>
    <w:rsid w:val="00F126C6"/>
    <w:rsid w:val="00F14283"/>
    <w:rsid w:val="00F14432"/>
    <w:rsid w:val="00F1454E"/>
    <w:rsid w:val="00F14746"/>
    <w:rsid w:val="00F14916"/>
    <w:rsid w:val="00F16F95"/>
    <w:rsid w:val="00F17795"/>
    <w:rsid w:val="00F204EA"/>
    <w:rsid w:val="00F211D1"/>
    <w:rsid w:val="00F21DC0"/>
    <w:rsid w:val="00F23CB2"/>
    <w:rsid w:val="00F2499C"/>
    <w:rsid w:val="00F25FF4"/>
    <w:rsid w:val="00F26F69"/>
    <w:rsid w:val="00F27420"/>
    <w:rsid w:val="00F27891"/>
    <w:rsid w:val="00F30466"/>
    <w:rsid w:val="00F30982"/>
    <w:rsid w:val="00F30DEF"/>
    <w:rsid w:val="00F331F9"/>
    <w:rsid w:val="00F35FCE"/>
    <w:rsid w:val="00F37D99"/>
    <w:rsid w:val="00F40562"/>
    <w:rsid w:val="00F41381"/>
    <w:rsid w:val="00F4223D"/>
    <w:rsid w:val="00F425F3"/>
    <w:rsid w:val="00F44359"/>
    <w:rsid w:val="00F451A9"/>
    <w:rsid w:val="00F45DBC"/>
    <w:rsid w:val="00F4604A"/>
    <w:rsid w:val="00F467E2"/>
    <w:rsid w:val="00F51331"/>
    <w:rsid w:val="00F521EF"/>
    <w:rsid w:val="00F52FC0"/>
    <w:rsid w:val="00F5429A"/>
    <w:rsid w:val="00F54638"/>
    <w:rsid w:val="00F55971"/>
    <w:rsid w:val="00F56185"/>
    <w:rsid w:val="00F572DD"/>
    <w:rsid w:val="00F57B7E"/>
    <w:rsid w:val="00F60EE9"/>
    <w:rsid w:val="00F619BD"/>
    <w:rsid w:val="00F61AF9"/>
    <w:rsid w:val="00F62022"/>
    <w:rsid w:val="00F62263"/>
    <w:rsid w:val="00F626A8"/>
    <w:rsid w:val="00F63B11"/>
    <w:rsid w:val="00F650F9"/>
    <w:rsid w:val="00F65789"/>
    <w:rsid w:val="00F65AB6"/>
    <w:rsid w:val="00F66896"/>
    <w:rsid w:val="00F67143"/>
    <w:rsid w:val="00F72D3B"/>
    <w:rsid w:val="00F72F1A"/>
    <w:rsid w:val="00F74D13"/>
    <w:rsid w:val="00F74F52"/>
    <w:rsid w:val="00F76C1E"/>
    <w:rsid w:val="00F77201"/>
    <w:rsid w:val="00F81A54"/>
    <w:rsid w:val="00F82B0F"/>
    <w:rsid w:val="00F82F1E"/>
    <w:rsid w:val="00F82FAA"/>
    <w:rsid w:val="00F830D8"/>
    <w:rsid w:val="00F839A2"/>
    <w:rsid w:val="00F86EBF"/>
    <w:rsid w:val="00F90122"/>
    <w:rsid w:val="00F909EC"/>
    <w:rsid w:val="00F92093"/>
    <w:rsid w:val="00F92C59"/>
    <w:rsid w:val="00F94521"/>
    <w:rsid w:val="00F94986"/>
    <w:rsid w:val="00F960BA"/>
    <w:rsid w:val="00F96529"/>
    <w:rsid w:val="00F9786D"/>
    <w:rsid w:val="00F97BE2"/>
    <w:rsid w:val="00FA0036"/>
    <w:rsid w:val="00FA0CD2"/>
    <w:rsid w:val="00FA18EA"/>
    <w:rsid w:val="00FA2C85"/>
    <w:rsid w:val="00FA3005"/>
    <w:rsid w:val="00FA3F55"/>
    <w:rsid w:val="00FA5A90"/>
    <w:rsid w:val="00FA5BD2"/>
    <w:rsid w:val="00FA5F0C"/>
    <w:rsid w:val="00FA6958"/>
    <w:rsid w:val="00FA6AE5"/>
    <w:rsid w:val="00FA700F"/>
    <w:rsid w:val="00FB0D39"/>
    <w:rsid w:val="00FB17C3"/>
    <w:rsid w:val="00FB1A92"/>
    <w:rsid w:val="00FB1D0B"/>
    <w:rsid w:val="00FB1FAC"/>
    <w:rsid w:val="00FB244C"/>
    <w:rsid w:val="00FB2B6A"/>
    <w:rsid w:val="00FB3809"/>
    <w:rsid w:val="00FB3CB0"/>
    <w:rsid w:val="00FB43E3"/>
    <w:rsid w:val="00FB5390"/>
    <w:rsid w:val="00FB5E5A"/>
    <w:rsid w:val="00FC029F"/>
    <w:rsid w:val="00FC0A42"/>
    <w:rsid w:val="00FC1655"/>
    <w:rsid w:val="00FC1A92"/>
    <w:rsid w:val="00FC272C"/>
    <w:rsid w:val="00FC2930"/>
    <w:rsid w:val="00FC352C"/>
    <w:rsid w:val="00FC363A"/>
    <w:rsid w:val="00FC6A2A"/>
    <w:rsid w:val="00FD1D06"/>
    <w:rsid w:val="00FD20B0"/>
    <w:rsid w:val="00FD2A74"/>
    <w:rsid w:val="00FD34B7"/>
    <w:rsid w:val="00FD36F0"/>
    <w:rsid w:val="00FD45C0"/>
    <w:rsid w:val="00FD475F"/>
    <w:rsid w:val="00FD4C74"/>
    <w:rsid w:val="00FD5A10"/>
    <w:rsid w:val="00FE0C93"/>
    <w:rsid w:val="00FE0EE5"/>
    <w:rsid w:val="00FE138E"/>
    <w:rsid w:val="00FE1D0A"/>
    <w:rsid w:val="00FE28E5"/>
    <w:rsid w:val="00FE4546"/>
    <w:rsid w:val="00FE6B4A"/>
    <w:rsid w:val="00FE73EC"/>
    <w:rsid w:val="00FF0A01"/>
    <w:rsid w:val="00FF1EAF"/>
    <w:rsid w:val="00FF2E7F"/>
    <w:rsid w:val="00FF5C9E"/>
    <w:rsid w:val="00FF5F14"/>
    <w:rsid w:val="00FF6CD4"/>
    <w:rsid w:val="00FF6EEF"/>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955F2"/>
  <w15:docId w15:val="{B397B42C-7559-49CC-8347-86964058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ZA"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64"/>
    <w:pPr>
      <w:spacing w:line="360" w:lineRule="auto"/>
      <w:jc w:val="both"/>
    </w:pPr>
    <w:rPr>
      <w:rFonts w:ascii="Arial" w:hAnsi="Arial"/>
      <w:sz w:val="22"/>
      <w:szCs w:val="22"/>
      <w:lang w:eastAsia="en-US"/>
    </w:rPr>
  </w:style>
  <w:style w:type="paragraph" w:styleId="Heading1">
    <w:name w:val="heading 1"/>
    <w:aliases w:val="3,ETC.,HEADINGS - NUMBERED 1,No numbers,Section Heading,h1"/>
    <w:basedOn w:val="BodyText"/>
    <w:link w:val="Heading1Char"/>
    <w:rsid w:val="004B5464"/>
    <w:pPr>
      <w:keepNext/>
      <w:numPr>
        <w:numId w:val="4"/>
      </w:numPr>
      <w:jc w:val="left"/>
      <w:outlineLvl w:val="0"/>
    </w:pPr>
    <w:rPr>
      <w:rFonts w:ascii="Arial Bold" w:hAnsi="Arial Bold" w:cs="Arial"/>
      <w:b/>
      <w:bCs/>
      <w:caps/>
      <w:color w:val="000000"/>
    </w:rPr>
  </w:style>
  <w:style w:type="paragraph" w:styleId="Heading2">
    <w:name w:val="heading 2"/>
    <w:aliases w:val="1.1.1 heading,2,Agt Head 2,Attribute Heading 2,COX2,H2,Heading 21,KJL:1st Level,L2,LetHead2,Level 2,Major1,MisHead2,Normalhead2,PARA2,Reset numbering,Sub section title,Sub-clause,Subsidiary clause,V_Head2,a,h2,l2,list + change bar,rp_Heading 2"/>
    <w:basedOn w:val="BodyText"/>
    <w:link w:val="Heading2Char"/>
    <w:rsid w:val="004B5464"/>
    <w:pPr>
      <w:keepNext/>
      <w:numPr>
        <w:ilvl w:val="1"/>
        <w:numId w:val="4"/>
      </w:numPr>
      <w:jc w:val="left"/>
      <w:outlineLvl w:val="1"/>
    </w:pPr>
    <w:rPr>
      <w:rFonts w:cs="Arial"/>
      <w:bCs/>
      <w:iCs/>
      <w:color w:val="000000"/>
      <w:szCs w:val="28"/>
    </w:rPr>
  </w:style>
  <w:style w:type="paragraph" w:styleId="Heading3">
    <w:name w:val="heading 3"/>
    <w:aliases w:val="(a),.,Agt Head 3,COX3,H3,H31,Heading 3 Char Char Char Char Char Char Char,Heading P,Headline,LetHead3,Level 1 - 1,Level 3,Mi,Minor,Minor1,MisHead3,Normalhead3,Section,Section SubHeading,h,h3,h3 sub heading,h31,h32,heading 3,l,l3,rp_Heading 3"/>
    <w:basedOn w:val="BodyText"/>
    <w:link w:val="Heading3Char"/>
    <w:autoRedefine/>
    <w:rsid w:val="00821E9D"/>
    <w:pPr>
      <w:keepNext/>
      <w:keepLines/>
      <w:numPr>
        <w:ilvl w:val="2"/>
        <w:numId w:val="4"/>
      </w:numPr>
      <w:tabs>
        <w:tab w:val="left" w:pos="1985"/>
      </w:tabs>
      <w:outlineLvl w:val="2"/>
    </w:pPr>
    <w:rPr>
      <w:rFonts w:cs="Arial"/>
      <w:lang w:eastAsia="en-ZA"/>
    </w:rPr>
  </w:style>
  <w:style w:type="paragraph" w:styleId="Heading4">
    <w:name w:val="heading 4"/>
    <w:aliases w:val="(,(Alt+4),(Alt+4)1,(Alt+4)11,(Alt+4)2,(Alt+4)21,(Alt+4)3,(Alt+4)4,(Alt+4)5,4,Agt Head 4,COX4,H4,H41,H411,H42,H421,H43,H431,H44,H45,Header 1,LetHead4,Level 2 - a,MisHead4,Normalhead4,Para4,Sub-Minor,h4,h4 sub sub heading,h41,h42,l4,rp_Heading 4"/>
    <w:basedOn w:val="BodyText"/>
    <w:link w:val="Heading4Char"/>
    <w:autoRedefine/>
    <w:rsid w:val="00AD1F75"/>
    <w:pPr>
      <w:widowControl w:val="0"/>
      <w:numPr>
        <w:ilvl w:val="3"/>
        <w:numId w:val="4"/>
      </w:numPr>
      <w:tabs>
        <w:tab w:val="left" w:pos="1418"/>
        <w:tab w:val="left" w:pos="1985"/>
      </w:tabs>
      <w:outlineLvl w:val="3"/>
    </w:pPr>
    <w:rPr>
      <w:bCs/>
      <w:szCs w:val="28"/>
      <w:lang w:val="en-US"/>
    </w:rPr>
  </w:style>
  <w:style w:type="paragraph" w:styleId="Heading5">
    <w:name w:val="heading 5"/>
    <w:aliases w:val="(1),5,AgtHead5,Appendix A to X,Appendix A to X1,Appendix A to X11,Appendix A to X2,B Subhead,Document Title 2,H5,H51,H52,Heading 5   Appendix A to X,Heading 5(unused),L5,Level 3 - (i),Level 3 - i,Para5,h5,h51,h52,rp_Heading 5,s,secx n.n.n.n"/>
    <w:basedOn w:val="BodyText"/>
    <w:next w:val="Normal"/>
    <w:link w:val="Heading5Char"/>
    <w:rsid w:val="004B5464"/>
    <w:pPr>
      <w:numPr>
        <w:ilvl w:val="4"/>
        <w:numId w:val="4"/>
      </w:numPr>
      <w:outlineLvl w:val="4"/>
    </w:pPr>
    <w:rPr>
      <w:rFonts w:cs="Arial"/>
      <w:bCs/>
      <w:iCs/>
    </w:rPr>
  </w:style>
  <w:style w:type="paragraph" w:styleId="Heading6">
    <w:name w:val="heading 6"/>
    <w:aliases w:val="(A),6,AgtHead6,Bullet lis,Bullet list,Bullet list1,Bullet list11,Bullet list111,Bullet list12,Bullet list2,Bullet list21,Bullet list3,C Subhead,H6,Heading 6  Appendix Y &amp; Z,Heading 6(unused),L1 PIP,Legal Level 1.,Name of Org,h6,rp_Heading 6,T1"/>
    <w:basedOn w:val="Normal"/>
    <w:next w:val="Normal"/>
    <w:rsid w:val="004B5464"/>
    <w:pPr>
      <w:numPr>
        <w:ilvl w:val="5"/>
        <w:numId w:val="4"/>
      </w:numPr>
      <w:spacing w:after="240"/>
      <w:outlineLvl w:val="5"/>
    </w:pPr>
    <w:rPr>
      <w:rFonts w:cs="Arial"/>
      <w:bCs/>
    </w:rPr>
  </w:style>
  <w:style w:type="paragraph" w:styleId="Heading7">
    <w:name w:val="heading 7"/>
    <w:aliases w:val="7,Annexure Heading 1,DTSÜberschrift 7,Heading 7(unused),Heading 7a,L2 PIP,Legal Level 1.1.,Lev 7,h7,rp_Heading 7,L7,letter list,L1 Heading 7,req3,cnc,Caption number (column-wide),Bulleted list,H7DO NOT USE,Blank 3,Appendix Major,Hd7,PIM 7"/>
    <w:basedOn w:val="Normal"/>
    <w:next w:val="Normal"/>
    <w:rsid w:val="004B5464"/>
    <w:pPr>
      <w:numPr>
        <w:ilvl w:val="6"/>
        <w:numId w:val="4"/>
      </w:numPr>
      <w:spacing w:before="240" w:after="60"/>
      <w:outlineLvl w:val="6"/>
    </w:pPr>
    <w:rPr>
      <w:szCs w:val="24"/>
    </w:rPr>
  </w:style>
  <w:style w:type="paragraph" w:styleId="Heading8">
    <w:name w:val="heading 8"/>
    <w:aliases w:val="8,Appendix,Bullet 1,Heading 8(unused),Heading 8a,Legal Level 1.1.1.,Lev 8,NOT FOR USE(8),h8,rp_Heading 8,Annex,L1 Heading 8,Center Bold,action,r,requirement,Requirement,req2,Reference List,Appendix1,h8 DO NOT USE,Blank 4,Appendix Minor,Hd8"/>
    <w:basedOn w:val="Normal"/>
    <w:next w:val="Normal"/>
    <w:rsid w:val="004B5464"/>
    <w:pPr>
      <w:numPr>
        <w:ilvl w:val="7"/>
        <w:numId w:val="4"/>
      </w:numPr>
      <w:spacing w:before="240" w:after="60"/>
      <w:outlineLvl w:val="7"/>
    </w:pPr>
    <w:rPr>
      <w:iCs/>
      <w:szCs w:val="24"/>
    </w:rPr>
  </w:style>
  <w:style w:type="paragraph" w:styleId="Heading9">
    <w:name w:val="heading 9"/>
    <w:aliases w:val="9,Bullet 2,Heading 9 (defunct),Heading 9a,Legal Level 1.1.1.1.,Sandy,rp_Heading 9,Annex1,Appen 1,L1 Heading 9,Titre 10,progress,rb,req bullet,req1,App1,Figure Heading,FH,Appendix2,Lev 9,App Heading,h9 DO NOT USE,Blank 5,appendix,Hd9,PIM 9"/>
    <w:basedOn w:val="Normal"/>
    <w:next w:val="Normal"/>
    <w:rsid w:val="004B5464"/>
    <w:pPr>
      <w:numPr>
        <w:ilvl w:val="8"/>
        <w:numId w:val="4"/>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5464"/>
    <w:pPr>
      <w:tabs>
        <w:tab w:val="center" w:pos="4153"/>
        <w:tab w:val="right" w:pos="8306"/>
      </w:tabs>
    </w:pPr>
  </w:style>
  <w:style w:type="paragraph" w:styleId="Footer">
    <w:name w:val="footer"/>
    <w:basedOn w:val="Normal"/>
    <w:link w:val="FooterChar"/>
    <w:rsid w:val="004B5464"/>
    <w:pPr>
      <w:tabs>
        <w:tab w:val="center" w:pos="4320"/>
        <w:tab w:val="right" w:pos="8640"/>
      </w:tabs>
      <w:spacing w:before="60" w:after="60" w:line="240" w:lineRule="auto"/>
    </w:pPr>
    <w:rPr>
      <w:rFonts w:ascii="Arial Narrow" w:hAnsi="Arial Narrow"/>
      <w:sz w:val="16"/>
      <w:szCs w:val="24"/>
    </w:rPr>
  </w:style>
  <w:style w:type="character" w:styleId="PageNumber">
    <w:name w:val="page number"/>
    <w:basedOn w:val="DefaultParagraphFont"/>
    <w:rsid w:val="008A4C0E"/>
    <w:rPr>
      <w:rFonts w:ascii="Arial Narrow" w:hAnsi="Arial Narrow"/>
    </w:rPr>
  </w:style>
  <w:style w:type="table" w:styleId="TableGrid">
    <w:name w:val="Table Grid"/>
    <w:basedOn w:val="TableNormal"/>
    <w:uiPriority w:val="39"/>
    <w:rsid w:val="008A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14283"/>
    <w:pPr>
      <w:spacing w:after="240"/>
      <w:ind w:left="851"/>
    </w:pPr>
  </w:style>
  <w:style w:type="paragraph" w:styleId="ListNumber">
    <w:name w:val="List Number"/>
    <w:basedOn w:val="Normal"/>
    <w:rsid w:val="004B5464"/>
    <w:pPr>
      <w:numPr>
        <w:numId w:val="1"/>
      </w:numPr>
    </w:pPr>
  </w:style>
  <w:style w:type="numbering" w:styleId="111111">
    <w:name w:val="Outline List 2"/>
    <w:basedOn w:val="NoList"/>
    <w:rsid w:val="008A4C0E"/>
    <w:pPr>
      <w:numPr>
        <w:numId w:val="2"/>
      </w:numPr>
    </w:pPr>
  </w:style>
  <w:style w:type="numbering" w:customStyle="1" w:styleId="StyleNumberedLeft063cmHanging063cm">
    <w:name w:val="Style Numbered Left:  0.63 cm Hanging:  0.63 cm"/>
    <w:basedOn w:val="NoList"/>
    <w:rsid w:val="00303634"/>
    <w:pPr>
      <w:numPr>
        <w:numId w:val="3"/>
      </w:numPr>
    </w:pPr>
  </w:style>
  <w:style w:type="character" w:customStyle="1" w:styleId="BodyTextChar">
    <w:name w:val="Body Text Char"/>
    <w:basedOn w:val="DefaultParagraphFont"/>
    <w:link w:val="BodyText"/>
    <w:rsid w:val="00F14283"/>
    <w:rPr>
      <w:rFonts w:ascii="Arial" w:hAnsi="Arial"/>
      <w:sz w:val="22"/>
      <w:szCs w:val="22"/>
      <w:lang w:val="en-ZA" w:eastAsia="en-US" w:bidi="ar-SA"/>
    </w:rPr>
  </w:style>
  <w:style w:type="paragraph" w:customStyle="1" w:styleId="Heading">
    <w:name w:val="Heading"/>
    <w:basedOn w:val="Normal"/>
    <w:rsid w:val="008A4C0E"/>
    <w:rPr>
      <w:b/>
      <w:caps/>
      <w:sz w:val="40"/>
      <w:szCs w:val="40"/>
    </w:rPr>
  </w:style>
  <w:style w:type="character" w:customStyle="1" w:styleId="Heading1Char">
    <w:name w:val="Heading 1 Char"/>
    <w:aliases w:val="3 Char,ETC. Char,HEADINGS - NUMBERED 1 Char,No numbers Char,Section Heading Char,h1 Char"/>
    <w:basedOn w:val="BodyTextChar"/>
    <w:link w:val="Heading1"/>
    <w:rsid w:val="004A3DA3"/>
    <w:rPr>
      <w:rFonts w:ascii="Arial Bold" w:hAnsi="Arial Bold" w:cs="Arial"/>
      <w:b/>
      <w:bCs/>
      <w:caps/>
      <w:color w:val="000000"/>
      <w:sz w:val="22"/>
      <w:szCs w:val="22"/>
      <w:lang w:val="en-ZA" w:eastAsia="en-US" w:bidi="ar-SA"/>
    </w:rPr>
  </w:style>
  <w:style w:type="character" w:customStyle="1" w:styleId="Heading2Char">
    <w:name w:val="Heading 2 Char"/>
    <w:aliases w:val="1.1.1 heading Char,2 Char,Agt Head 2 Char,Attribute Heading 2 Char,COX2 Char,H2 Char,Heading 21 Char,KJL:1st Level Char,L2 Char,LetHead2 Char,Level 2 Char,Major1 Char,MisHead2 Char,Normalhead2 Char,PARA2 Char,Reset numbering Char,a Char"/>
    <w:basedOn w:val="BodyTextChar"/>
    <w:link w:val="Heading2"/>
    <w:rsid w:val="00CD7F5E"/>
    <w:rPr>
      <w:rFonts w:ascii="Arial" w:hAnsi="Arial" w:cs="Arial"/>
      <w:bCs/>
      <w:iCs/>
      <w:color w:val="000000"/>
      <w:sz w:val="22"/>
      <w:szCs w:val="28"/>
      <w:lang w:val="en-ZA" w:eastAsia="en-US" w:bidi="ar-SA"/>
    </w:rPr>
  </w:style>
  <w:style w:type="character" w:styleId="Hyperlink">
    <w:name w:val="Hyperlink"/>
    <w:basedOn w:val="DefaultParagraphFont"/>
    <w:rsid w:val="004B5464"/>
    <w:rPr>
      <w:color w:val="000093"/>
      <w:u w:val="single"/>
    </w:rPr>
  </w:style>
  <w:style w:type="paragraph" w:styleId="TOC1">
    <w:name w:val="toc 1"/>
    <w:basedOn w:val="Normal"/>
    <w:next w:val="Normal"/>
    <w:rsid w:val="004B5464"/>
    <w:pPr>
      <w:tabs>
        <w:tab w:val="right" w:leader="dot" w:pos="9356"/>
      </w:tabs>
      <w:spacing w:before="120" w:after="120" w:line="240" w:lineRule="auto"/>
      <w:ind w:left="567" w:right="851" w:hanging="567"/>
      <w:jc w:val="left"/>
    </w:pPr>
    <w:rPr>
      <w:rFonts w:cs="Arial"/>
      <w:b/>
      <w:noProof/>
      <w:color w:val="000000"/>
      <w:szCs w:val="20"/>
    </w:rPr>
  </w:style>
  <w:style w:type="paragraph" w:styleId="TOC2">
    <w:name w:val="toc 2"/>
    <w:basedOn w:val="Normal"/>
    <w:next w:val="Normal"/>
    <w:autoRedefine/>
    <w:rsid w:val="004B5464"/>
    <w:pPr>
      <w:tabs>
        <w:tab w:val="right" w:leader="dot" w:pos="8505"/>
      </w:tabs>
      <w:spacing w:after="120" w:line="240" w:lineRule="auto"/>
      <w:ind w:left="850" w:right="567" w:hanging="459"/>
      <w:jc w:val="left"/>
    </w:pPr>
    <w:rPr>
      <w:rFonts w:cs="Arial"/>
      <w:noProof/>
      <w:color w:val="000000"/>
      <w:sz w:val="24"/>
      <w:szCs w:val="24"/>
    </w:rPr>
  </w:style>
  <w:style w:type="paragraph" w:styleId="TOC3">
    <w:name w:val="toc 3"/>
    <w:basedOn w:val="Normal"/>
    <w:next w:val="Normal"/>
    <w:autoRedefine/>
    <w:rsid w:val="004B5464"/>
    <w:pPr>
      <w:tabs>
        <w:tab w:val="right" w:leader="dot" w:pos="8505"/>
      </w:tabs>
      <w:spacing w:after="120" w:line="240" w:lineRule="auto"/>
      <w:ind w:left="1418" w:hanging="550"/>
      <w:jc w:val="left"/>
    </w:pPr>
    <w:rPr>
      <w:rFonts w:cs="Arial"/>
      <w:noProof/>
      <w:color w:val="000000"/>
      <w:sz w:val="24"/>
      <w:szCs w:val="24"/>
    </w:rPr>
  </w:style>
  <w:style w:type="paragraph" w:styleId="TOC4">
    <w:name w:val="toc 4"/>
    <w:basedOn w:val="Normal"/>
    <w:next w:val="Normal"/>
    <w:autoRedefine/>
    <w:rsid w:val="004B5464"/>
    <w:pPr>
      <w:ind w:left="660"/>
    </w:pPr>
  </w:style>
  <w:style w:type="paragraph" w:styleId="TOC5">
    <w:name w:val="toc 5"/>
    <w:basedOn w:val="Normal"/>
    <w:next w:val="Normal"/>
    <w:autoRedefine/>
    <w:rsid w:val="004B5464"/>
    <w:pPr>
      <w:ind w:left="880"/>
    </w:pPr>
  </w:style>
  <w:style w:type="paragraph" w:styleId="TOC6">
    <w:name w:val="toc 6"/>
    <w:basedOn w:val="Normal"/>
    <w:next w:val="Normal"/>
    <w:autoRedefine/>
    <w:rsid w:val="004B5464"/>
    <w:pPr>
      <w:ind w:left="1100"/>
    </w:pPr>
  </w:style>
  <w:style w:type="paragraph" w:styleId="TOC7">
    <w:name w:val="toc 7"/>
    <w:basedOn w:val="Normal"/>
    <w:next w:val="Normal"/>
    <w:autoRedefine/>
    <w:rsid w:val="004B5464"/>
    <w:pPr>
      <w:ind w:left="1320"/>
    </w:pPr>
  </w:style>
  <w:style w:type="paragraph" w:styleId="TOC8">
    <w:name w:val="toc 8"/>
    <w:basedOn w:val="Normal"/>
    <w:next w:val="Normal"/>
    <w:autoRedefine/>
    <w:rsid w:val="004B5464"/>
    <w:pPr>
      <w:ind w:left="1540"/>
    </w:pPr>
  </w:style>
  <w:style w:type="paragraph" w:styleId="TOC9">
    <w:name w:val="toc 9"/>
    <w:basedOn w:val="Normal"/>
    <w:next w:val="Normal"/>
    <w:autoRedefine/>
    <w:rsid w:val="004B5464"/>
    <w:pPr>
      <w:ind w:left="1760"/>
    </w:pPr>
  </w:style>
  <w:style w:type="paragraph" w:styleId="NormalWeb">
    <w:name w:val="Normal (Web)"/>
    <w:basedOn w:val="Normal"/>
    <w:unhideWhenUsed/>
    <w:rsid w:val="00FF5C9E"/>
    <w:pPr>
      <w:spacing w:before="100" w:beforeAutospacing="1" w:after="100" w:afterAutospacing="1" w:line="240" w:lineRule="auto"/>
      <w:jc w:val="left"/>
    </w:pPr>
    <w:rPr>
      <w:rFonts w:ascii="Times New Roman" w:eastAsia="Calibri" w:hAnsi="Times New Roman"/>
      <w:sz w:val="24"/>
      <w:szCs w:val="24"/>
      <w:lang w:eastAsia="en-ZA"/>
    </w:rPr>
  </w:style>
  <w:style w:type="character" w:styleId="Strong">
    <w:name w:val="Strong"/>
    <w:basedOn w:val="DefaultParagraphFont"/>
    <w:qFormat/>
    <w:rsid w:val="004B5464"/>
    <w:rPr>
      <w:b/>
      <w:bCs/>
    </w:rPr>
  </w:style>
  <w:style w:type="paragraph" w:customStyle="1" w:styleId="Clause0Sub">
    <w:name w:val="Clause0Sub"/>
    <w:basedOn w:val="Normal"/>
    <w:link w:val="Clause0SubChar"/>
    <w:rsid w:val="004B5464"/>
    <w:pPr>
      <w:tabs>
        <w:tab w:val="left" w:pos="720"/>
        <w:tab w:val="left" w:pos="1440"/>
        <w:tab w:val="left" w:pos="2552"/>
        <w:tab w:val="left" w:pos="3600"/>
        <w:tab w:val="left" w:pos="5041"/>
        <w:tab w:val="left" w:pos="6481"/>
        <w:tab w:val="left" w:pos="7201"/>
        <w:tab w:val="left" w:pos="7921"/>
        <w:tab w:val="left" w:pos="8222"/>
      </w:tabs>
      <w:spacing w:after="240" w:line="360" w:lineRule="atLeast"/>
      <w:ind w:left="720"/>
    </w:pPr>
    <w:rPr>
      <w:sz w:val="20"/>
      <w:szCs w:val="20"/>
      <w:lang w:val="en-GB" w:eastAsia="en-GB"/>
    </w:rPr>
  </w:style>
  <w:style w:type="paragraph" w:customStyle="1" w:styleId="NumberingStyle">
    <w:name w:val="NumberingStyle"/>
    <w:basedOn w:val="ListParagraph"/>
    <w:qFormat/>
    <w:rsid w:val="004B5464"/>
    <w:pPr>
      <w:numPr>
        <w:numId w:val="5"/>
      </w:numPr>
      <w:tabs>
        <w:tab w:val="clear" w:pos="851"/>
      </w:tabs>
    </w:pPr>
  </w:style>
  <w:style w:type="paragraph" w:styleId="ListParagraph">
    <w:name w:val="List Paragraph"/>
    <w:basedOn w:val="Normal"/>
    <w:link w:val="ListParagraphChar"/>
    <w:qFormat/>
    <w:rsid w:val="004B5464"/>
    <w:pPr>
      <w:ind w:left="720"/>
      <w:contextualSpacing/>
    </w:pPr>
  </w:style>
  <w:style w:type="paragraph" w:customStyle="1" w:styleId="Clause2Sub">
    <w:name w:val="Clause2Sub"/>
    <w:basedOn w:val="Normal"/>
    <w:link w:val="Clause2SubChar"/>
    <w:rsid w:val="004B5464"/>
    <w:pPr>
      <w:numPr>
        <w:ilvl w:val="1"/>
        <w:numId w:val="6"/>
      </w:numPr>
      <w:spacing w:after="240" w:line="360" w:lineRule="atLeast"/>
    </w:pPr>
    <w:rPr>
      <w:sz w:val="20"/>
      <w:szCs w:val="20"/>
      <w:lang w:val="en-GB" w:eastAsia="en-GB"/>
    </w:rPr>
  </w:style>
  <w:style w:type="paragraph" w:customStyle="1" w:styleId="Clause1Head">
    <w:name w:val="Clause1Head"/>
    <w:basedOn w:val="Normal"/>
    <w:next w:val="Normal"/>
    <w:rsid w:val="004B5464"/>
    <w:pPr>
      <w:keepNext/>
      <w:numPr>
        <w:numId w:val="6"/>
      </w:numPr>
      <w:spacing w:after="240" w:line="360" w:lineRule="atLeast"/>
    </w:pPr>
    <w:rPr>
      <w:b/>
      <w:sz w:val="20"/>
      <w:szCs w:val="20"/>
      <w:lang w:val="en-GB" w:eastAsia="en-GB"/>
    </w:rPr>
  </w:style>
  <w:style w:type="paragraph" w:customStyle="1" w:styleId="Clause3Sub">
    <w:name w:val="Clause3Sub"/>
    <w:basedOn w:val="Normal"/>
    <w:link w:val="Clause3SubChar"/>
    <w:rsid w:val="004B5464"/>
    <w:pPr>
      <w:numPr>
        <w:ilvl w:val="2"/>
        <w:numId w:val="6"/>
      </w:numPr>
      <w:spacing w:after="240" w:line="360" w:lineRule="atLeast"/>
    </w:pPr>
    <w:rPr>
      <w:sz w:val="20"/>
      <w:szCs w:val="20"/>
      <w:lang w:val="en-GB" w:eastAsia="en-GB"/>
    </w:rPr>
  </w:style>
  <w:style w:type="paragraph" w:customStyle="1" w:styleId="Clause4Sub">
    <w:name w:val="Clause4Sub"/>
    <w:basedOn w:val="Normal"/>
    <w:rsid w:val="004B5464"/>
    <w:pPr>
      <w:numPr>
        <w:ilvl w:val="3"/>
        <w:numId w:val="6"/>
      </w:numPr>
      <w:spacing w:after="240" w:line="360" w:lineRule="atLeast"/>
    </w:pPr>
    <w:rPr>
      <w:sz w:val="20"/>
      <w:szCs w:val="20"/>
      <w:lang w:val="en-GB" w:eastAsia="en-GB"/>
    </w:rPr>
  </w:style>
  <w:style w:type="paragraph" w:customStyle="1" w:styleId="Clause5Sub">
    <w:name w:val="Clause5Sub"/>
    <w:basedOn w:val="Normal"/>
    <w:rsid w:val="004B5464"/>
    <w:pPr>
      <w:numPr>
        <w:ilvl w:val="4"/>
        <w:numId w:val="6"/>
      </w:numPr>
      <w:spacing w:after="240" w:line="360" w:lineRule="atLeast"/>
    </w:pPr>
    <w:rPr>
      <w:sz w:val="20"/>
      <w:szCs w:val="20"/>
      <w:lang w:val="en-GB" w:eastAsia="en-GB"/>
    </w:rPr>
  </w:style>
  <w:style w:type="paragraph" w:customStyle="1" w:styleId="Clause6Sub">
    <w:name w:val="Clause6Sub"/>
    <w:basedOn w:val="Normal"/>
    <w:rsid w:val="004B5464"/>
    <w:pPr>
      <w:numPr>
        <w:ilvl w:val="5"/>
        <w:numId w:val="6"/>
      </w:numPr>
      <w:spacing w:after="240" w:line="360" w:lineRule="atLeast"/>
    </w:pPr>
    <w:rPr>
      <w:sz w:val="20"/>
      <w:szCs w:val="20"/>
      <w:lang w:val="en-GB" w:eastAsia="en-GB"/>
    </w:rPr>
  </w:style>
  <w:style w:type="paragraph" w:customStyle="1" w:styleId="Clause7Sub">
    <w:name w:val="Clause7Sub"/>
    <w:basedOn w:val="Normal"/>
    <w:rsid w:val="004B5464"/>
    <w:pPr>
      <w:numPr>
        <w:ilvl w:val="6"/>
        <w:numId w:val="6"/>
      </w:numPr>
      <w:spacing w:after="240" w:line="360" w:lineRule="atLeast"/>
    </w:pPr>
    <w:rPr>
      <w:sz w:val="20"/>
      <w:szCs w:val="20"/>
      <w:lang w:val="en-GB" w:eastAsia="en-GB"/>
    </w:rPr>
  </w:style>
  <w:style w:type="paragraph" w:customStyle="1" w:styleId="Clause8Sub">
    <w:name w:val="Clause8Sub"/>
    <w:basedOn w:val="Normal"/>
    <w:rsid w:val="004B5464"/>
    <w:pPr>
      <w:numPr>
        <w:ilvl w:val="7"/>
        <w:numId w:val="6"/>
      </w:numPr>
      <w:spacing w:after="240" w:line="360" w:lineRule="atLeast"/>
    </w:pPr>
    <w:rPr>
      <w:sz w:val="20"/>
      <w:szCs w:val="20"/>
      <w:lang w:val="en-GB" w:eastAsia="en-GB"/>
    </w:rPr>
  </w:style>
  <w:style w:type="paragraph" w:customStyle="1" w:styleId="Clause9Sub">
    <w:name w:val="Clause9Sub"/>
    <w:basedOn w:val="Normal"/>
    <w:rsid w:val="004B5464"/>
    <w:pPr>
      <w:numPr>
        <w:ilvl w:val="8"/>
        <w:numId w:val="6"/>
      </w:numPr>
      <w:spacing w:after="240" w:line="360" w:lineRule="atLeast"/>
    </w:pPr>
    <w:rPr>
      <w:sz w:val="20"/>
      <w:szCs w:val="20"/>
      <w:lang w:val="en-GB" w:eastAsia="en-GB"/>
    </w:rPr>
  </w:style>
  <w:style w:type="character" w:customStyle="1" w:styleId="Clause2SubChar">
    <w:name w:val="Clause2Sub Char"/>
    <w:basedOn w:val="DefaultParagraphFont"/>
    <w:link w:val="Clause2Sub"/>
    <w:rsid w:val="001C1078"/>
    <w:rPr>
      <w:rFonts w:ascii="Arial" w:hAnsi="Arial"/>
      <w:sz w:val="20"/>
      <w:szCs w:val="20"/>
      <w:lang w:val="en-GB" w:eastAsia="en-GB"/>
    </w:rPr>
  </w:style>
  <w:style w:type="paragraph" w:customStyle="1" w:styleId="Annexures">
    <w:name w:val="Annexures"/>
    <w:basedOn w:val="Normal"/>
    <w:next w:val="Normal"/>
    <w:rsid w:val="004B5464"/>
    <w:pPr>
      <w:numPr>
        <w:numId w:val="7"/>
      </w:numPr>
      <w:spacing w:after="240" w:line="360" w:lineRule="atLeast"/>
    </w:pPr>
    <w:rPr>
      <w:b/>
      <w:sz w:val="20"/>
      <w:szCs w:val="20"/>
      <w:lang w:val="en-GB" w:eastAsia="en-GB"/>
    </w:rPr>
  </w:style>
  <w:style w:type="paragraph" w:customStyle="1" w:styleId="XClause0Sub">
    <w:name w:val="XClause0Sub"/>
    <w:basedOn w:val="Normal"/>
    <w:rsid w:val="004B5464"/>
    <w:pPr>
      <w:tabs>
        <w:tab w:val="left" w:pos="680"/>
        <w:tab w:val="left" w:pos="1474"/>
        <w:tab w:val="left" w:pos="2552"/>
        <w:tab w:val="left" w:pos="3629"/>
        <w:tab w:val="left" w:pos="4763"/>
        <w:tab w:val="left" w:pos="6124"/>
        <w:tab w:val="left" w:pos="6861"/>
        <w:tab w:val="left" w:pos="7655"/>
        <w:tab w:val="left" w:pos="8222"/>
      </w:tabs>
      <w:spacing w:after="240" w:line="360" w:lineRule="atLeast"/>
      <w:ind w:left="680"/>
    </w:pPr>
    <w:rPr>
      <w:sz w:val="20"/>
      <w:szCs w:val="20"/>
      <w:lang w:val="en-GB" w:eastAsia="en-GB"/>
    </w:rPr>
  </w:style>
  <w:style w:type="paragraph" w:customStyle="1" w:styleId="XClause1Head">
    <w:name w:val="XClause1Head"/>
    <w:basedOn w:val="Normal"/>
    <w:next w:val="XClause0Sub"/>
    <w:link w:val="XClause1HeadChar"/>
    <w:rsid w:val="004B5464"/>
    <w:pPr>
      <w:numPr>
        <w:numId w:val="8"/>
      </w:numPr>
      <w:spacing w:after="240" w:line="360" w:lineRule="atLeast"/>
    </w:pPr>
    <w:rPr>
      <w:sz w:val="20"/>
      <w:szCs w:val="20"/>
      <w:lang w:val="en-GB" w:eastAsia="en-GB"/>
    </w:rPr>
  </w:style>
  <w:style w:type="paragraph" w:customStyle="1" w:styleId="XClause2Sub">
    <w:name w:val="XClause2Sub"/>
    <w:basedOn w:val="Normal"/>
    <w:rsid w:val="004B5464"/>
    <w:pPr>
      <w:numPr>
        <w:ilvl w:val="1"/>
        <w:numId w:val="8"/>
      </w:numPr>
      <w:spacing w:after="240" w:line="360" w:lineRule="atLeast"/>
    </w:pPr>
    <w:rPr>
      <w:sz w:val="20"/>
      <w:szCs w:val="20"/>
      <w:lang w:val="en-GB" w:eastAsia="en-GB"/>
    </w:rPr>
  </w:style>
  <w:style w:type="paragraph" w:customStyle="1" w:styleId="XClause3Sub">
    <w:name w:val="XClause3Sub"/>
    <w:basedOn w:val="Normal"/>
    <w:rsid w:val="004B5464"/>
    <w:pPr>
      <w:numPr>
        <w:ilvl w:val="2"/>
        <w:numId w:val="8"/>
      </w:numPr>
      <w:spacing w:after="240" w:line="360" w:lineRule="atLeast"/>
    </w:pPr>
    <w:rPr>
      <w:sz w:val="20"/>
      <w:szCs w:val="20"/>
      <w:lang w:val="en-GB" w:eastAsia="en-GB"/>
    </w:rPr>
  </w:style>
  <w:style w:type="paragraph" w:customStyle="1" w:styleId="XClause4Sub">
    <w:name w:val="XClause4Sub"/>
    <w:basedOn w:val="Clause4Sub"/>
    <w:rsid w:val="004B5464"/>
    <w:pPr>
      <w:numPr>
        <w:numId w:val="8"/>
      </w:numPr>
    </w:pPr>
  </w:style>
  <w:style w:type="paragraph" w:customStyle="1" w:styleId="XClause5Sub">
    <w:name w:val="XClause5Sub"/>
    <w:basedOn w:val="Normal"/>
    <w:rsid w:val="004B5464"/>
    <w:pPr>
      <w:numPr>
        <w:ilvl w:val="4"/>
        <w:numId w:val="8"/>
      </w:numPr>
      <w:spacing w:after="240" w:line="360" w:lineRule="atLeast"/>
    </w:pPr>
    <w:rPr>
      <w:sz w:val="20"/>
      <w:szCs w:val="20"/>
      <w:lang w:val="en-GB" w:eastAsia="en-GB"/>
    </w:rPr>
  </w:style>
  <w:style w:type="paragraph" w:customStyle="1" w:styleId="TOCClause2Sub">
    <w:name w:val="TOCClause2Sub"/>
    <w:basedOn w:val="Normal"/>
    <w:rsid w:val="004B5464"/>
    <w:pPr>
      <w:numPr>
        <w:ilvl w:val="1"/>
        <w:numId w:val="9"/>
      </w:numPr>
      <w:tabs>
        <w:tab w:val="clear" w:pos="1474"/>
      </w:tabs>
      <w:spacing w:after="240" w:line="360" w:lineRule="atLeast"/>
    </w:pPr>
    <w:rPr>
      <w:sz w:val="20"/>
      <w:szCs w:val="20"/>
      <w:lang w:val="en-GB" w:eastAsia="en-GB"/>
    </w:rPr>
  </w:style>
  <w:style w:type="character" w:customStyle="1" w:styleId="Heading3Char">
    <w:name w:val="Heading 3 Char"/>
    <w:aliases w:val="(a) Char,. Char,Agt Head 3 Char,COX3 Char,H3 Char,H31 Char,Heading 3 Char Char Char Char Char Char Char Char,Heading P Char,Headline Char,LetHead3 Char,Level 1 - 1 Char,Level 3 Char,Mi Char,Minor Char,Minor1 Char,MisHead3 Char,h Char"/>
    <w:basedOn w:val="DefaultParagraphFont"/>
    <w:link w:val="Heading3"/>
    <w:rsid w:val="00821E9D"/>
    <w:rPr>
      <w:rFonts w:ascii="Arial" w:hAnsi="Arial" w:cs="Arial"/>
      <w:sz w:val="22"/>
      <w:szCs w:val="22"/>
    </w:rPr>
  </w:style>
  <w:style w:type="character" w:customStyle="1" w:styleId="Heading4Char">
    <w:name w:val="Heading 4 Char"/>
    <w:aliases w:val="( Char,(Alt+4) Char,(Alt+4)1 Char,(Alt+4)11 Char,(Alt+4)2 Char,(Alt+4)21 Char,(Alt+4)3 Char,(Alt+4)4 Char,(Alt+4)5 Char,4 Char,Agt Head 4 Char,COX4 Char,H4 Char,H41 Char,H411 Char,H42 Char,H421 Char,H43 Char,H431 Char,H44 Char,H45 Char"/>
    <w:basedOn w:val="DefaultParagraphFont"/>
    <w:link w:val="Heading4"/>
    <w:rsid w:val="00AD1F75"/>
    <w:rPr>
      <w:rFonts w:ascii="Arial" w:hAnsi="Arial"/>
      <w:bCs/>
      <w:sz w:val="22"/>
      <w:szCs w:val="28"/>
      <w:lang w:val="en-US" w:eastAsia="en-US"/>
    </w:rPr>
  </w:style>
  <w:style w:type="character" w:customStyle="1" w:styleId="Heading5Char">
    <w:name w:val="Heading 5 Char"/>
    <w:aliases w:val="(1) Char,5 Char,AgtHead5 Char,Appendix A to X Char,Appendix A to X1 Char,Appendix A to X11 Char,Appendix A to X2 Char,B Subhead Char,Document Title 2 Char,H5 Char,H51 Char,H52 Char,Heading 5   Appendix A to X Char,Heading 5(unused) Char"/>
    <w:basedOn w:val="DefaultParagraphFont"/>
    <w:link w:val="Heading5"/>
    <w:rsid w:val="00432388"/>
    <w:rPr>
      <w:rFonts w:ascii="Arial" w:hAnsi="Arial" w:cs="Arial"/>
      <w:bCs/>
      <w:iCs/>
      <w:sz w:val="22"/>
      <w:szCs w:val="22"/>
      <w:lang w:eastAsia="en-US"/>
    </w:rPr>
  </w:style>
  <w:style w:type="character" w:customStyle="1" w:styleId="Clause0SubChar">
    <w:name w:val="Clause0Sub Char"/>
    <w:basedOn w:val="DefaultParagraphFont"/>
    <w:link w:val="Clause0Sub"/>
    <w:rsid w:val="00462C16"/>
    <w:rPr>
      <w:rFonts w:ascii="Arial" w:hAnsi="Arial"/>
      <w:sz w:val="20"/>
      <w:szCs w:val="20"/>
      <w:lang w:val="en-GB" w:eastAsia="en-GB"/>
    </w:rPr>
  </w:style>
  <w:style w:type="character" w:customStyle="1" w:styleId="Clause3SubChar">
    <w:name w:val="Clause3Sub Char"/>
    <w:basedOn w:val="DefaultParagraphFont"/>
    <w:link w:val="Clause3Sub"/>
    <w:rsid w:val="00462C16"/>
    <w:rPr>
      <w:rFonts w:ascii="Arial" w:hAnsi="Arial"/>
      <w:sz w:val="20"/>
      <w:szCs w:val="20"/>
      <w:lang w:val="en-GB" w:eastAsia="en-GB"/>
    </w:rPr>
  </w:style>
  <w:style w:type="character" w:customStyle="1" w:styleId="XClause1HeadChar">
    <w:name w:val="XClause1Head Char"/>
    <w:basedOn w:val="DefaultParagraphFont"/>
    <w:link w:val="XClause1Head"/>
    <w:rsid w:val="00462C16"/>
    <w:rPr>
      <w:rFonts w:ascii="Arial" w:hAnsi="Arial"/>
      <w:sz w:val="20"/>
      <w:szCs w:val="20"/>
      <w:lang w:val="en-GB" w:eastAsia="en-GB"/>
    </w:rPr>
  </w:style>
  <w:style w:type="paragraph" w:customStyle="1" w:styleId="Quotes">
    <w:name w:val="Quotes"/>
    <w:basedOn w:val="Normal"/>
    <w:next w:val="Normal"/>
    <w:rsid w:val="004B5464"/>
    <w:pPr>
      <w:spacing w:after="240" w:line="300" w:lineRule="atLeast"/>
      <w:ind w:left="720" w:right="720"/>
    </w:pPr>
    <w:rPr>
      <w:rFonts w:cs="Arial"/>
      <w:sz w:val="18"/>
      <w:szCs w:val="18"/>
      <w:lang w:val="en-GB" w:eastAsia="en-GB"/>
    </w:rPr>
  </w:style>
  <w:style w:type="paragraph" w:customStyle="1" w:styleId="lg-a-1">
    <w:name w:val="lg-a-1"/>
    <w:basedOn w:val="Normal"/>
    <w:rsid w:val="00462C16"/>
    <w:pPr>
      <w:spacing w:before="180" w:line="240" w:lineRule="auto"/>
      <w:ind w:left="1361" w:hanging="1361"/>
    </w:pPr>
    <w:rPr>
      <w:rFonts w:ascii="Verdana" w:hAnsi="Verdana"/>
      <w:color w:val="000000"/>
      <w:sz w:val="18"/>
      <w:szCs w:val="18"/>
      <w:lang w:val="en-US"/>
    </w:rPr>
  </w:style>
  <w:style w:type="character" w:styleId="CommentReference">
    <w:name w:val="annotation reference"/>
    <w:basedOn w:val="DefaultParagraphFont"/>
    <w:rsid w:val="00462C16"/>
    <w:rPr>
      <w:sz w:val="16"/>
      <w:szCs w:val="16"/>
    </w:rPr>
  </w:style>
  <w:style w:type="paragraph" w:styleId="CommentText">
    <w:name w:val="annotation text"/>
    <w:basedOn w:val="Normal"/>
    <w:link w:val="CommentTextChar"/>
    <w:rsid w:val="004B5464"/>
    <w:pPr>
      <w:spacing w:after="240" w:line="360" w:lineRule="atLeast"/>
    </w:pPr>
    <w:rPr>
      <w:bCs/>
      <w:sz w:val="20"/>
      <w:szCs w:val="20"/>
      <w:lang w:val="en-GB" w:eastAsia="en-GB"/>
    </w:rPr>
  </w:style>
  <w:style w:type="character" w:customStyle="1" w:styleId="CommentTextChar">
    <w:name w:val="Comment Text Char"/>
    <w:basedOn w:val="DefaultParagraphFont"/>
    <w:link w:val="CommentText"/>
    <w:rsid w:val="00462C16"/>
    <w:rPr>
      <w:rFonts w:ascii="Arial" w:hAnsi="Arial"/>
      <w:bCs/>
      <w:sz w:val="20"/>
      <w:szCs w:val="20"/>
      <w:lang w:val="en-GB" w:eastAsia="en-GB"/>
    </w:rPr>
  </w:style>
  <w:style w:type="paragraph" w:customStyle="1" w:styleId="XClause6Sub">
    <w:name w:val="XClause6Sub"/>
    <w:basedOn w:val="Normal"/>
    <w:rsid w:val="004B5464"/>
    <w:pPr>
      <w:tabs>
        <w:tab w:val="num" w:pos="6481"/>
      </w:tabs>
      <w:spacing w:after="240" w:line="360" w:lineRule="atLeast"/>
      <w:ind w:left="6481" w:hanging="1440"/>
    </w:pPr>
    <w:rPr>
      <w:sz w:val="20"/>
      <w:szCs w:val="20"/>
      <w:lang w:val="en-GB" w:eastAsia="en-GB"/>
    </w:rPr>
  </w:style>
  <w:style w:type="paragraph" w:customStyle="1" w:styleId="XClause7Sub">
    <w:name w:val="XClause7Sub"/>
    <w:basedOn w:val="Normal"/>
    <w:rsid w:val="004B5464"/>
    <w:pPr>
      <w:tabs>
        <w:tab w:val="num" w:pos="7201"/>
      </w:tabs>
      <w:spacing w:after="240" w:line="360" w:lineRule="atLeast"/>
      <w:ind w:left="7201" w:hanging="1871"/>
    </w:pPr>
    <w:rPr>
      <w:sz w:val="20"/>
      <w:szCs w:val="20"/>
      <w:lang w:val="en-GB" w:eastAsia="en-GB"/>
    </w:rPr>
  </w:style>
  <w:style w:type="paragraph" w:customStyle="1" w:styleId="XClause8Sub">
    <w:name w:val="XClause8Sub"/>
    <w:basedOn w:val="Normal"/>
    <w:rsid w:val="004B5464"/>
    <w:pPr>
      <w:tabs>
        <w:tab w:val="num" w:pos="7921"/>
      </w:tabs>
      <w:spacing w:after="240" w:line="360" w:lineRule="atLeast"/>
      <w:ind w:left="7921" w:hanging="1967"/>
    </w:pPr>
    <w:rPr>
      <w:sz w:val="20"/>
      <w:szCs w:val="20"/>
      <w:lang w:val="en-GB" w:eastAsia="en-GB"/>
    </w:rPr>
  </w:style>
  <w:style w:type="paragraph" w:customStyle="1" w:styleId="XClause9Sub">
    <w:name w:val="XClause9Sub"/>
    <w:basedOn w:val="Normal"/>
    <w:rsid w:val="004B5464"/>
    <w:pPr>
      <w:tabs>
        <w:tab w:val="num" w:pos="8222"/>
      </w:tabs>
      <w:spacing w:after="240" w:line="360" w:lineRule="atLeast"/>
      <w:ind w:left="8222" w:hanging="1730"/>
    </w:pPr>
    <w:rPr>
      <w:sz w:val="20"/>
      <w:szCs w:val="20"/>
      <w:lang w:val="en-GB" w:eastAsia="en-GB"/>
    </w:rPr>
  </w:style>
  <w:style w:type="paragraph" w:customStyle="1" w:styleId="lg-definition">
    <w:name w:val="lg-definition"/>
    <w:basedOn w:val="Normal"/>
    <w:rsid w:val="00462C16"/>
    <w:pPr>
      <w:spacing w:before="180" w:line="240" w:lineRule="auto"/>
      <w:ind w:left="198" w:firstLine="198"/>
    </w:pPr>
    <w:rPr>
      <w:rFonts w:ascii="Verdana" w:hAnsi="Verdana"/>
      <w:color w:val="000000"/>
      <w:sz w:val="18"/>
      <w:szCs w:val="18"/>
      <w:lang w:val="en-US"/>
    </w:rPr>
  </w:style>
  <w:style w:type="paragraph" w:styleId="DocumentMap">
    <w:name w:val="Document Map"/>
    <w:basedOn w:val="Normal"/>
    <w:link w:val="DocumentMapChar"/>
    <w:rsid w:val="004B5464"/>
    <w:pPr>
      <w:shd w:val="clear" w:color="auto" w:fill="000080"/>
      <w:spacing w:after="240" w:line="360" w:lineRule="atLeast"/>
    </w:pPr>
    <w:rPr>
      <w:rFonts w:ascii="Tahoma" w:hAnsi="Tahoma" w:cs="Tahoma"/>
      <w:sz w:val="20"/>
      <w:szCs w:val="20"/>
      <w:lang w:val="en-GB" w:eastAsia="en-GB"/>
    </w:rPr>
  </w:style>
  <w:style w:type="character" w:customStyle="1" w:styleId="DocumentMapChar">
    <w:name w:val="Document Map Char"/>
    <w:basedOn w:val="DefaultParagraphFont"/>
    <w:link w:val="DocumentMap"/>
    <w:rsid w:val="00462C16"/>
    <w:rPr>
      <w:rFonts w:ascii="Tahoma" w:hAnsi="Tahoma" w:cs="Tahoma"/>
      <w:sz w:val="20"/>
      <w:szCs w:val="20"/>
      <w:shd w:val="clear" w:color="auto" w:fill="000080"/>
      <w:lang w:val="en-GB" w:eastAsia="en-GB"/>
    </w:rPr>
  </w:style>
  <w:style w:type="paragraph" w:customStyle="1" w:styleId="Subsection">
    <w:name w:val="Subsection"/>
    <w:basedOn w:val="Normal"/>
    <w:rsid w:val="004B5464"/>
    <w:pPr>
      <w:spacing w:line="240" w:lineRule="auto"/>
      <w:ind w:left="1134" w:hanging="567"/>
      <w:jc w:val="left"/>
    </w:pPr>
    <w:rPr>
      <w:rFonts w:ascii="Times New Roman" w:hAnsi="Times New Roman"/>
      <w:sz w:val="24"/>
      <w:szCs w:val="20"/>
    </w:rPr>
  </w:style>
  <w:style w:type="paragraph" w:customStyle="1" w:styleId="Para">
    <w:name w:val="Para"/>
    <w:basedOn w:val="Normal"/>
    <w:rsid w:val="004B5464"/>
    <w:pPr>
      <w:spacing w:line="240" w:lineRule="auto"/>
      <w:ind w:left="1701" w:hanging="567"/>
      <w:jc w:val="left"/>
    </w:pPr>
    <w:rPr>
      <w:rFonts w:ascii="Times New Roman" w:hAnsi="Times New Roman"/>
      <w:sz w:val="24"/>
      <w:szCs w:val="20"/>
    </w:rPr>
  </w:style>
  <w:style w:type="paragraph" w:styleId="FootnoteText">
    <w:name w:val="footnote text"/>
    <w:basedOn w:val="Normal"/>
    <w:link w:val="FootnoteTextChar"/>
    <w:rsid w:val="004B5464"/>
    <w:pPr>
      <w:spacing w:after="240" w:line="360" w:lineRule="atLeast"/>
    </w:pPr>
    <w:rPr>
      <w:sz w:val="20"/>
      <w:szCs w:val="20"/>
      <w:lang w:val="en-GB" w:eastAsia="en-GB"/>
    </w:rPr>
  </w:style>
  <w:style w:type="character" w:customStyle="1" w:styleId="FootnoteTextChar">
    <w:name w:val="Footnote Text Char"/>
    <w:basedOn w:val="DefaultParagraphFont"/>
    <w:link w:val="FootnoteText"/>
    <w:rsid w:val="00462C16"/>
    <w:rPr>
      <w:rFonts w:ascii="Arial" w:hAnsi="Arial"/>
      <w:sz w:val="20"/>
      <w:szCs w:val="20"/>
      <w:lang w:val="en-GB" w:eastAsia="en-GB"/>
    </w:rPr>
  </w:style>
  <w:style w:type="character" w:styleId="FootnoteReference">
    <w:name w:val="footnote reference"/>
    <w:basedOn w:val="DefaultParagraphFont"/>
    <w:rsid w:val="00462C16"/>
    <w:rPr>
      <w:vertAlign w:val="superscript"/>
    </w:rPr>
  </w:style>
  <w:style w:type="paragraph" w:customStyle="1" w:styleId="Subpara">
    <w:name w:val="Subpara"/>
    <w:basedOn w:val="Normal"/>
    <w:autoRedefine/>
    <w:rsid w:val="004B5464"/>
    <w:pPr>
      <w:spacing w:line="240" w:lineRule="auto"/>
      <w:ind w:left="2268" w:hanging="567"/>
      <w:jc w:val="left"/>
    </w:pPr>
    <w:rPr>
      <w:rFonts w:ascii="Times New Roman" w:hAnsi="Times New Roman"/>
      <w:sz w:val="24"/>
      <w:szCs w:val="20"/>
    </w:rPr>
  </w:style>
  <w:style w:type="paragraph" w:styleId="TableofFigures">
    <w:name w:val="table of figures"/>
    <w:basedOn w:val="Normal"/>
    <w:next w:val="Normal"/>
    <w:rsid w:val="004B5464"/>
    <w:pPr>
      <w:spacing w:after="240" w:line="360" w:lineRule="atLeast"/>
    </w:pPr>
    <w:rPr>
      <w:sz w:val="20"/>
      <w:szCs w:val="20"/>
      <w:lang w:val="en-GB" w:eastAsia="en-GB"/>
    </w:rPr>
  </w:style>
  <w:style w:type="paragraph" w:customStyle="1" w:styleId="ChapterName">
    <w:name w:val="Chapter Name"/>
    <w:basedOn w:val="Normal"/>
    <w:next w:val="Normal"/>
    <w:rsid w:val="004B5464"/>
    <w:pPr>
      <w:keepNext/>
      <w:tabs>
        <w:tab w:val="left" w:pos="567"/>
        <w:tab w:val="left" w:pos="1134"/>
        <w:tab w:val="left" w:pos="1701"/>
      </w:tabs>
      <w:spacing w:after="240"/>
      <w:jc w:val="center"/>
      <w:outlineLvl w:val="1"/>
    </w:pPr>
    <w:rPr>
      <w:rFonts w:ascii="Times New Roman" w:hAnsi="Times New Roman"/>
      <w:b/>
      <w:szCs w:val="20"/>
    </w:rPr>
  </w:style>
  <w:style w:type="paragraph" w:styleId="BalloonText">
    <w:name w:val="Balloon Text"/>
    <w:basedOn w:val="Normal"/>
    <w:link w:val="BalloonTextChar"/>
    <w:rsid w:val="00462C16"/>
    <w:pPr>
      <w:spacing w:line="240" w:lineRule="auto"/>
    </w:pPr>
    <w:rPr>
      <w:rFonts w:ascii="Tahoma" w:hAnsi="Tahoma" w:cs="Tahoma"/>
      <w:sz w:val="16"/>
      <w:szCs w:val="16"/>
      <w:lang w:val="en-GB" w:eastAsia="en-GB"/>
    </w:rPr>
  </w:style>
  <w:style w:type="character" w:customStyle="1" w:styleId="BalloonTextChar">
    <w:name w:val="Balloon Text Char"/>
    <w:basedOn w:val="DefaultParagraphFont"/>
    <w:link w:val="BalloonText"/>
    <w:rsid w:val="00462C16"/>
    <w:rPr>
      <w:rFonts w:ascii="Tahoma" w:hAnsi="Tahoma" w:cs="Tahoma"/>
      <w:sz w:val="16"/>
      <w:szCs w:val="16"/>
      <w:lang w:val="en-GB" w:eastAsia="en-GB"/>
    </w:rPr>
  </w:style>
  <w:style w:type="paragraph" w:styleId="Revision">
    <w:name w:val="Revision"/>
    <w:hidden/>
    <w:rsid w:val="004B5464"/>
    <w:rPr>
      <w:rFonts w:ascii="Arial" w:hAnsi="Arial"/>
      <w:sz w:val="22"/>
      <w:szCs w:val="22"/>
      <w:lang w:eastAsia="en-US"/>
    </w:rPr>
  </w:style>
  <w:style w:type="paragraph" w:styleId="CommentSubject">
    <w:name w:val="annotation subject"/>
    <w:basedOn w:val="CommentText"/>
    <w:next w:val="CommentText"/>
    <w:link w:val="CommentSubjectChar"/>
    <w:unhideWhenUsed/>
    <w:rsid w:val="004B5464"/>
    <w:pPr>
      <w:spacing w:after="0" w:line="240" w:lineRule="auto"/>
    </w:pPr>
    <w:rPr>
      <w:b/>
      <w:lang w:val="en-ZA" w:eastAsia="en-US"/>
    </w:rPr>
  </w:style>
  <w:style w:type="character" w:customStyle="1" w:styleId="CommentSubjectChar">
    <w:name w:val="Comment Subject Char"/>
    <w:basedOn w:val="CommentTextChar"/>
    <w:link w:val="CommentSubject"/>
    <w:rsid w:val="0023540E"/>
    <w:rPr>
      <w:rFonts w:ascii="Arial" w:hAnsi="Arial"/>
      <w:b/>
      <w:bCs/>
      <w:sz w:val="20"/>
      <w:szCs w:val="20"/>
      <w:lang w:val="en-GB" w:eastAsia="en-US"/>
    </w:rPr>
  </w:style>
  <w:style w:type="character" w:customStyle="1" w:styleId="FooterChar">
    <w:name w:val="Footer Char"/>
    <w:basedOn w:val="DefaultParagraphFont"/>
    <w:link w:val="Footer"/>
    <w:rsid w:val="002E25CA"/>
    <w:rPr>
      <w:rFonts w:ascii="Arial Narrow" w:hAnsi="Arial Narrow"/>
      <w:sz w:val="16"/>
      <w:lang w:eastAsia="en-US"/>
    </w:rPr>
  </w:style>
  <w:style w:type="paragraph" w:customStyle="1" w:styleId="StdAgrLevel1">
    <w:name w:val="StdAgrLevel1"/>
    <w:basedOn w:val="Normal"/>
    <w:rsid w:val="004B5464"/>
    <w:pPr>
      <w:keepNext/>
      <w:keepLines/>
      <w:numPr>
        <w:numId w:val="10"/>
      </w:numPr>
      <w:spacing w:before="300" w:after="300"/>
      <w:outlineLvl w:val="0"/>
    </w:pPr>
    <w:rPr>
      <w:rFonts w:ascii="Arial Bold" w:hAnsi="Arial Bold"/>
      <w:b/>
      <w:caps/>
      <w:lang w:eastAsia="x-none"/>
    </w:rPr>
  </w:style>
  <w:style w:type="paragraph" w:customStyle="1" w:styleId="StdAgrLevel2">
    <w:name w:val="StdAgrLevel2"/>
    <w:basedOn w:val="Normal"/>
    <w:rsid w:val="004B5464"/>
    <w:pPr>
      <w:numPr>
        <w:ilvl w:val="1"/>
        <w:numId w:val="10"/>
      </w:numPr>
      <w:spacing w:after="300"/>
      <w:outlineLvl w:val="1"/>
    </w:pPr>
    <w:rPr>
      <w:lang w:eastAsia="x-none"/>
    </w:rPr>
  </w:style>
  <w:style w:type="paragraph" w:customStyle="1" w:styleId="StdAgrLevel3">
    <w:name w:val="StdAgrLevel3"/>
    <w:basedOn w:val="Normal"/>
    <w:rsid w:val="004B5464"/>
    <w:pPr>
      <w:numPr>
        <w:ilvl w:val="2"/>
        <w:numId w:val="10"/>
      </w:numPr>
      <w:spacing w:after="300"/>
      <w:outlineLvl w:val="2"/>
    </w:pPr>
    <w:rPr>
      <w:lang w:eastAsia="x-none"/>
    </w:rPr>
  </w:style>
  <w:style w:type="paragraph" w:customStyle="1" w:styleId="StdAgrLevel4">
    <w:name w:val="StdAgrLevel4"/>
    <w:basedOn w:val="Normal"/>
    <w:rsid w:val="004B5464"/>
    <w:pPr>
      <w:numPr>
        <w:ilvl w:val="3"/>
        <w:numId w:val="10"/>
      </w:numPr>
      <w:spacing w:after="300"/>
      <w:outlineLvl w:val="3"/>
    </w:pPr>
  </w:style>
  <w:style w:type="paragraph" w:customStyle="1" w:styleId="StdAgrLevel5">
    <w:name w:val="StdAgrLevel5"/>
    <w:basedOn w:val="Normal"/>
    <w:rsid w:val="004B5464"/>
    <w:pPr>
      <w:numPr>
        <w:ilvl w:val="4"/>
        <w:numId w:val="10"/>
      </w:numPr>
      <w:spacing w:after="300"/>
      <w:outlineLvl w:val="4"/>
    </w:pPr>
  </w:style>
  <w:style w:type="paragraph" w:customStyle="1" w:styleId="StdAgrLevel6">
    <w:name w:val="StdAgrLevel6"/>
    <w:basedOn w:val="Normal"/>
    <w:rsid w:val="004B5464"/>
    <w:pPr>
      <w:numPr>
        <w:ilvl w:val="5"/>
        <w:numId w:val="10"/>
      </w:numPr>
      <w:spacing w:after="300"/>
      <w:outlineLvl w:val="5"/>
    </w:pPr>
  </w:style>
  <w:style w:type="paragraph" w:styleId="Subtitle">
    <w:name w:val="Subtitle"/>
    <w:basedOn w:val="Normal"/>
    <w:next w:val="Normal"/>
    <w:link w:val="SubtitleChar"/>
    <w:qFormat/>
    <w:rsid w:val="004B546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7611DB"/>
    <w:rPr>
      <w:rFonts w:asciiTheme="minorHAnsi" w:eastAsiaTheme="minorEastAsia" w:hAnsiTheme="minorHAnsi" w:cstheme="minorBidi"/>
      <w:color w:val="5A5A5A" w:themeColor="text1" w:themeTint="A5"/>
      <w:spacing w:val="15"/>
      <w:sz w:val="22"/>
      <w:szCs w:val="22"/>
      <w:lang w:eastAsia="en-US"/>
    </w:rPr>
  </w:style>
  <w:style w:type="character" w:customStyle="1" w:styleId="LegalHof2">
    <w:name w:val="Legal Hof 2"/>
    <w:rsid w:val="00DD35EB"/>
  </w:style>
  <w:style w:type="paragraph" w:customStyle="1" w:styleId="DA1FirstLevelHeading">
    <w:name w:val="DA 1 First Level Heading"/>
    <w:basedOn w:val="Heading1"/>
    <w:link w:val="DA1FirstLevelHeadingChar"/>
    <w:qFormat/>
    <w:rsid w:val="006B6766"/>
    <w:rPr>
      <w:rFonts w:ascii="Arial" w:hAnsi="Arial"/>
    </w:rPr>
  </w:style>
  <w:style w:type="paragraph" w:customStyle="1" w:styleId="DA3Third">
    <w:name w:val="DA 3 Third"/>
    <w:basedOn w:val="Heading3"/>
    <w:link w:val="DA3ThirdChar"/>
    <w:qFormat/>
    <w:rsid w:val="00CF491A"/>
    <w:pPr>
      <w:keepNext w:val="0"/>
      <w:keepLines w:val="0"/>
      <w:widowControl w:val="0"/>
      <w:tabs>
        <w:tab w:val="clear" w:pos="1985"/>
        <w:tab w:val="left" w:pos="2268"/>
      </w:tabs>
    </w:pPr>
  </w:style>
  <w:style w:type="paragraph" w:customStyle="1" w:styleId="DA4ThirdLevelNumbering">
    <w:name w:val="DA 4 Third Level Numbering"/>
    <w:basedOn w:val="Heading4"/>
    <w:link w:val="DA4ThirdLevelNumberingChar"/>
    <w:qFormat/>
    <w:rsid w:val="006A76A7"/>
  </w:style>
  <w:style w:type="paragraph" w:customStyle="1" w:styleId="DA4FourthLevelNumbering">
    <w:name w:val="DA 4 Fourth Level Numbering"/>
    <w:basedOn w:val="Heading5"/>
    <w:link w:val="DA4FourthLevelNumberingChar"/>
    <w:rsid w:val="00B71A92"/>
  </w:style>
  <w:style w:type="paragraph" w:customStyle="1" w:styleId="DA5FifthLevelNumbering">
    <w:name w:val="DA 5 Fifth Level Numbering"/>
    <w:basedOn w:val="Heading5"/>
    <w:link w:val="DA5FifthLevelNumberingChar"/>
    <w:qFormat/>
    <w:rsid w:val="00CF2BC6"/>
    <w:pPr>
      <w:tabs>
        <w:tab w:val="clear" w:pos="4536"/>
        <w:tab w:val="num" w:pos="4820"/>
      </w:tabs>
      <w:ind w:left="4820" w:hanging="1418"/>
    </w:pPr>
  </w:style>
  <w:style w:type="paragraph" w:customStyle="1" w:styleId="DA6SixthLevelNumbering">
    <w:name w:val="DA 6 Sixth Level Numbering"/>
    <w:basedOn w:val="Normal"/>
    <w:qFormat/>
    <w:rsid w:val="00432388"/>
    <w:pPr>
      <w:numPr>
        <w:ilvl w:val="5"/>
        <w:numId w:val="11"/>
      </w:numPr>
      <w:spacing w:after="240"/>
    </w:pPr>
    <w:rPr>
      <w:rFonts w:eastAsiaTheme="minorHAnsi" w:cs="Arial"/>
    </w:rPr>
  </w:style>
  <w:style w:type="paragraph" w:customStyle="1" w:styleId="DA7SeventhLevelNumbering">
    <w:name w:val="DA 7 Seventh Level Numbering"/>
    <w:basedOn w:val="Normal"/>
    <w:qFormat/>
    <w:rsid w:val="00432388"/>
    <w:pPr>
      <w:numPr>
        <w:ilvl w:val="6"/>
        <w:numId w:val="11"/>
      </w:numPr>
      <w:spacing w:after="240"/>
    </w:pPr>
    <w:rPr>
      <w:rFonts w:eastAsiaTheme="minorHAnsi" w:cs="Arial"/>
    </w:rPr>
  </w:style>
  <w:style w:type="paragraph" w:customStyle="1" w:styleId="DA8EighthLevelNumbering">
    <w:name w:val="DA 8 Eighth Level Numbering"/>
    <w:basedOn w:val="Normal"/>
    <w:qFormat/>
    <w:rsid w:val="00432388"/>
    <w:pPr>
      <w:numPr>
        <w:ilvl w:val="7"/>
        <w:numId w:val="11"/>
      </w:numPr>
      <w:spacing w:after="240"/>
    </w:pPr>
    <w:rPr>
      <w:rFonts w:eastAsiaTheme="minorHAnsi" w:cs="Arial"/>
    </w:rPr>
  </w:style>
  <w:style w:type="paragraph" w:customStyle="1" w:styleId="DA9NinthLevelNumbering">
    <w:name w:val="DA 9 Ninth Level Numbering"/>
    <w:basedOn w:val="Normal"/>
    <w:qFormat/>
    <w:rsid w:val="00432388"/>
    <w:pPr>
      <w:numPr>
        <w:ilvl w:val="8"/>
        <w:numId w:val="11"/>
      </w:numPr>
      <w:spacing w:after="240"/>
    </w:pPr>
    <w:rPr>
      <w:rFonts w:eastAsiaTheme="minorHAnsi" w:cs="Arial"/>
    </w:rPr>
  </w:style>
  <w:style w:type="character" w:customStyle="1" w:styleId="DA3ThirdChar">
    <w:name w:val="DA 3 Third Char"/>
    <w:basedOn w:val="DefaultParagraphFont"/>
    <w:link w:val="DA3Third"/>
    <w:rsid w:val="00CF491A"/>
    <w:rPr>
      <w:rFonts w:ascii="Arial" w:hAnsi="Arial" w:cs="Arial"/>
      <w:sz w:val="22"/>
      <w:szCs w:val="22"/>
    </w:rPr>
  </w:style>
  <w:style w:type="character" w:customStyle="1" w:styleId="ListParagraphChar">
    <w:name w:val="List Paragraph Char"/>
    <w:basedOn w:val="DefaultParagraphFont"/>
    <w:link w:val="ListParagraph"/>
    <w:locked/>
    <w:rsid w:val="0057234D"/>
    <w:rPr>
      <w:rFonts w:ascii="Arial" w:hAnsi="Arial"/>
      <w:sz w:val="22"/>
      <w:szCs w:val="22"/>
      <w:lang w:eastAsia="en-US"/>
    </w:rPr>
  </w:style>
  <w:style w:type="character" w:customStyle="1" w:styleId="DA4ThirdLevelNumberingChar">
    <w:name w:val="DA 4 Third Level Numbering Char"/>
    <w:basedOn w:val="ListParagraphChar"/>
    <w:link w:val="DA4ThirdLevelNumbering"/>
    <w:locked/>
    <w:rsid w:val="006A76A7"/>
    <w:rPr>
      <w:rFonts w:ascii="Arial" w:hAnsi="Arial"/>
      <w:bCs/>
      <w:sz w:val="22"/>
      <w:szCs w:val="28"/>
      <w:lang w:val="en-US" w:eastAsia="en-US"/>
    </w:rPr>
  </w:style>
  <w:style w:type="paragraph" w:customStyle="1" w:styleId="DA2SecondLevel">
    <w:name w:val="DA 2 Second Level"/>
    <w:basedOn w:val="Heading2"/>
    <w:link w:val="DA2SecondLevelChar"/>
    <w:qFormat/>
    <w:rsid w:val="006B6766"/>
    <w:rPr>
      <w:szCs w:val="22"/>
    </w:rPr>
  </w:style>
  <w:style w:type="character" w:customStyle="1" w:styleId="DA2SecondLevelChar">
    <w:name w:val="DA 2 Second Level Char"/>
    <w:basedOn w:val="DefaultParagraphFont"/>
    <w:link w:val="DA2SecondLevel"/>
    <w:rsid w:val="006B6766"/>
    <w:rPr>
      <w:rFonts w:ascii="Arial" w:hAnsi="Arial" w:cs="Arial"/>
      <w:bCs/>
      <w:iCs/>
      <w:color w:val="000000"/>
      <w:sz w:val="22"/>
      <w:szCs w:val="22"/>
      <w:lang w:eastAsia="en-US"/>
    </w:rPr>
  </w:style>
  <w:style w:type="character" w:customStyle="1" w:styleId="DA1FirstLevelHeadingChar">
    <w:name w:val="DA 1 First Level Heading Char"/>
    <w:basedOn w:val="ListParagraphChar"/>
    <w:link w:val="DA1FirstLevelHeading"/>
    <w:rsid w:val="006B6766"/>
    <w:rPr>
      <w:rFonts w:ascii="Arial" w:hAnsi="Arial" w:cs="Arial"/>
      <w:b/>
      <w:bCs/>
      <w:caps/>
      <w:color w:val="000000"/>
      <w:sz w:val="22"/>
      <w:szCs w:val="22"/>
      <w:lang w:eastAsia="en-US"/>
    </w:rPr>
  </w:style>
  <w:style w:type="paragraph" w:customStyle="1" w:styleId="DACoverPage">
    <w:name w:val="DA Cover Page"/>
    <w:basedOn w:val="Normal"/>
    <w:link w:val="DACoverPageChar"/>
    <w:qFormat/>
    <w:rsid w:val="00727250"/>
    <w:pPr>
      <w:spacing w:after="480"/>
      <w:jc w:val="left"/>
    </w:pPr>
    <w:rPr>
      <w:rFonts w:eastAsiaTheme="minorHAnsi" w:cs="Arial"/>
    </w:rPr>
  </w:style>
  <w:style w:type="character" w:customStyle="1" w:styleId="DACoverPageChar">
    <w:name w:val="DA Cover Page Char"/>
    <w:basedOn w:val="DefaultParagraphFont"/>
    <w:link w:val="DACoverPage"/>
    <w:rsid w:val="00727250"/>
    <w:rPr>
      <w:rFonts w:ascii="Arial" w:eastAsiaTheme="minorHAnsi" w:hAnsi="Arial" w:cs="Arial"/>
      <w:sz w:val="22"/>
      <w:szCs w:val="22"/>
      <w:lang w:eastAsia="en-US"/>
    </w:rPr>
  </w:style>
  <w:style w:type="paragraph" w:customStyle="1" w:styleId="DAPartyDefinition">
    <w:name w:val="DA Party Definition"/>
    <w:basedOn w:val="Normal"/>
    <w:link w:val="DAPartyDefinitionChar"/>
    <w:qFormat/>
    <w:rsid w:val="00727250"/>
    <w:pPr>
      <w:spacing w:after="480"/>
      <w:jc w:val="left"/>
    </w:pPr>
    <w:rPr>
      <w:rFonts w:eastAsiaTheme="minorHAnsi" w:cs="Arial"/>
    </w:rPr>
  </w:style>
  <w:style w:type="character" w:customStyle="1" w:styleId="DAPartyDefinitionChar">
    <w:name w:val="DA Party Definition Char"/>
    <w:basedOn w:val="DefaultParagraphFont"/>
    <w:link w:val="DAPartyDefinition"/>
    <w:rsid w:val="00727250"/>
    <w:rPr>
      <w:rFonts w:ascii="Arial" w:eastAsiaTheme="minorHAnsi" w:hAnsi="Arial" w:cs="Arial"/>
      <w:sz w:val="22"/>
      <w:szCs w:val="22"/>
      <w:lang w:eastAsia="en-US"/>
    </w:rPr>
  </w:style>
  <w:style w:type="character" w:customStyle="1" w:styleId="DA4FourthLevelNumberingChar">
    <w:name w:val="DA 4 Fourth Level Numbering Char"/>
    <w:basedOn w:val="ListParagraphChar"/>
    <w:link w:val="DA4FourthLevelNumbering"/>
    <w:rsid w:val="00B71A92"/>
    <w:rPr>
      <w:rFonts w:ascii="Arial" w:hAnsi="Arial" w:cs="Arial"/>
      <w:bCs/>
      <w:iCs/>
      <w:sz w:val="22"/>
      <w:szCs w:val="22"/>
      <w:lang w:eastAsia="en-US"/>
    </w:rPr>
  </w:style>
  <w:style w:type="character" w:customStyle="1" w:styleId="DA5FifthLevelNumberingChar">
    <w:name w:val="DA 5 Fifth Level Numbering Char"/>
    <w:basedOn w:val="ListParagraphChar"/>
    <w:link w:val="DA5FifthLevelNumbering"/>
    <w:rsid w:val="00CF2BC6"/>
    <w:rPr>
      <w:rFonts w:ascii="Arial" w:hAnsi="Arial" w:cs="Arial"/>
      <w:bCs/>
      <w:iCs/>
      <w:sz w:val="22"/>
      <w:szCs w:val="22"/>
      <w:lang w:eastAsia="en-US"/>
    </w:rPr>
  </w:style>
  <w:style w:type="paragraph" w:customStyle="1" w:styleId="DA0">
    <w:name w:val="DA 0"/>
    <w:basedOn w:val="Normal"/>
    <w:link w:val="DA0Char"/>
    <w:qFormat/>
    <w:rsid w:val="00CF2BC6"/>
    <w:pPr>
      <w:spacing w:after="240"/>
      <w:ind w:left="426"/>
    </w:pPr>
    <w:rPr>
      <w:rFonts w:cs="Arial"/>
    </w:rPr>
  </w:style>
  <w:style w:type="paragraph" w:customStyle="1" w:styleId="DA01">
    <w:name w:val="DA 01"/>
    <w:basedOn w:val="Normal"/>
    <w:link w:val="DA01Char"/>
    <w:qFormat/>
    <w:rsid w:val="001B6B39"/>
    <w:pPr>
      <w:widowControl w:val="0"/>
      <w:spacing w:after="240"/>
      <w:ind w:left="1134"/>
    </w:pPr>
    <w:rPr>
      <w:rFonts w:cs="Arial"/>
      <w:u w:val="single"/>
    </w:rPr>
  </w:style>
  <w:style w:type="character" w:customStyle="1" w:styleId="DA0Char">
    <w:name w:val="DA 0 Char"/>
    <w:basedOn w:val="DefaultParagraphFont"/>
    <w:link w:val="DA0"/>
    <w:rsid w:val="00CF2BC6"/>
    <w:rPr>
      <w:rFonts w:ascii="Arial" w:hAnsi="Arial" w:cs="Arial"/>
      <w:sz w:val="22"/>
      <w:szCs w:val="22"/>
      <w:lang w:eastAsia="en-US"/>
    </w:rPr>
  </w:style>
  <w:style w:type="paragraph" w:customStyle="1" w:styleId="DA1">
    <w:name w:val="DA 1"/>
    <w:basedOn w:val="Heading1"/>
    <w:link w:val="DA1Char"/>
    <w:rsid w:val="008B18FD"/>
    <w:pPr>
      <w:keepNext w:val="0"/>
      <w:numPr>
        <w:numId w:val="41"/>
      </w:numPr>
      <w:pBdr>
        <w:top w:val="nil"/>
        <w:left w:val="nil"/>
        <w:bottom w:val="nil"/>
        <w:right w:val="nil"/>
        <w:between w:val="nil"/>
      </w:pBdr>
      <w:tabs>
        <w:tab w:val="left" w:pos="993"/>
      </w:tabs>
      <w:ind w:left="510"/>
      <w:jc w:val="both"/>
    </w:pPr>
    <w:rPr>
      <w:rFonts w:ascii="Arial" w:eastAsia="Arial" w:hAnsi="Arial"/>
      <w:bCs w:val="0"/>
      <w:caps w:val="0"/>
      <w:smallCaps/>
    </w:rPr>
  </w:style>
  <w:style w:type="character" w:customStyle="1" w:styleId="DA01Char">
    <w:name w:val="DA 01 Char"/>
    <w:basedOn w:val="DefaultParagraphFont"/>
    <w:link w:val="DA01"/>
    <w:rsid w:val="001B6B39"/>
    <w:rPr>
      <w:rFonts w:ascii="Arial" w:hAnsi="Arial" w:cs="Arial"/>
      <w:sz w:val="22"/>
      <w:szCs w:val="22"/>
      <w:u w:val="single"/>
      <w:lang w:eastAsia="en-US"/>
    </w:rPr>
  </w:style>
  <w:style w:type="paragraph" w:customStyle="1" w:styleId="DA2">
    <w:name w:val="DA 2"/>
    <w:basedOn w:val="DA1"/>
    <w:link w:val="DA2Char"/>
    <w:rsid w:val="008B18FD"/>
    <w:pPr>
      <w:numPr>
        <w:ilvl w:val="1"/>
      </w:numPr>
      <w:tabs>
        <w:tab w:val="clear" w:pos="993"/>
        <w:tab w:val="left" w:pos="1418"/>
      </w:tabs>
    </w:pPr>
    <w:rPr>
      <w:b w:val="0"/>
      <w:smallCaps w:val="0"/>
    </w:rPr>
  </w:style>
  <w:style w:type="character" w:customStyle="1" w:styleId="DA1Char">
    <w:name w:val="DA 1 Char"/>
    <w:basedOn w:val="Heading1Char"/>
    <w:link w:val="DA1"/>
    <w:rsid w:val="008B18FD"/>
    <w:rPr>
      <w:rFonts w:ascii="Arial" w:eastAsia="Arial" w:hAnsi="Arial" w:cs="Arial"/>
      <w:b/>
      <w:bCs w:val="0"/>
      <w:caps w:val="0"/>
      <w:smallCaps/>
      <w:color w:val="000000"/>
      <w:sz w:val="22"/>
      <w:szCs w:val="22"/>
      <w:lang w:val="en-ZA" w:eastAsia="en-US" w:bidi="ar-SA"/>
    </w:rPr>
  </w:style>
  <w:style w:type="paragraph" w:customStyle="1" w:styleId="DA3">
    <w:name w:val="DA 3"/>
    <w:basedOn w:val="DA2"/>
    <w:rsid w:val="008B18FD"/>
    <w:pPr>
      <w:numPr>
        <w:ilvl w:val="2"/>
      </w:numPr>
      <w:tabs>
        <w:tab w:val="clear" w:pos="1418"/>
        <w:tab w:val="num" w:pos="360"/>
        <w:tab w:val="left" w:pos="2268"/>
      </w:tabs>
      <w:ind w:left="360" w:hanging="360"/>
    </w:pPr>
  </w:style>
  <w:style w:type="character" w:customStyle="1" w:styleId="DA2Char">
    <w:name w:val="DA 2 Char"/>
    <w:basedOn w:val="Heading2Char"/>
    <w:link w:val="DA2"/>
    <w:rsid w:val="008B18FD"/>
    <w:rPr>
      <w:rFonts w:ascii="Arial" w:eastAsia="Arial" w:hAnsi="Arial" w:cs="Arial"/>
      <w:bCs w:val="0"/>
      <w:iCs w:val="0"/>
      <w:color w:val="000000"/>
      <w:sz w:val="22"/>
      <w:szCs w:val="22"/>
      <w:lang w:val="en-ZA" w:eastAsia="en-US" w:bidi="ar-SA"/>
    </w:rPr>
  </w:style>
  <w:style w:type="paragraph" w:customStyle="1" w:styleId="DA4">
    <w:name w:val="DA 4"/>
    <w:basedOn w:val="DA3"/>
    <w:rsid w:val="008B18FD"/>
    <w:pPr>
      <w:numPr>
        <w:ilvl w:val="3"/>
      </w:numPr>
      <w:tabs>
        <w:tab w:val="clear" w:pos="2268"/>
        <w:tab w:val="num" w:pos="360"/>
        <w:tab w:val="left" w:pos="3544"/>
      </w:tabs>
      <w:ind w:left="360" w:hanging="360"/>
    </w:pPr>
  </w:style>
  <w:style w:type="paragraph" w:customStyle="1" w:styleId="DA5">
    <w:name w:val="DA 5"/>
    <w:basedOn w:val="DA4"/>
    <w:rsid w:val="008B18FD"/>
    <w:pPr>
      <w:numPr>
        <w:ilvl w:val="4"/>
      </w:numPr>
      <w:tabs>
        <w:tab w:val="clear" w:pos="3544"/>
        <w:tab w:val="num" w:pos="360"/>
        <w:tab w:val="left" w:pos="4962"/>
      </w:tabs>
      <w:ind w:left="360" w:hanging="360"/>
    </w:pPr>
  </w:style>
  <w:style w:type="numbering" w:customStyle="1" w:styleId="StyleNumberedLeft063cmHanging063cm0">
    <w:name w:val="Style Numbered Left  0.63 cm Hanging  0.63 cm"/>
    <w:basedOn w:val="NoList"/>
    <w:rsid w:val="004B5464"/>
  </w:style>
  <w:style w:type="paragraph" w:customStyle="1" w:styleId="NormalWeb0">
    <w:name w:val="Normal Web"/>
    <w:basedOn w:val="Normal"/>
    <w:rsid w:val="004B5464"/>
    <w:pPr>
      <w:spacing w:before="100" w:after="100" w:line="240" w:lineRule="auto"/>
      <w:jc w:val="left"/>
    </w:pPr>
    <w:rPr>
      <w:rFonts w:ascii="Times New Roman" w:hAnsi="Times New Roman"/>
      <w:sz w:val="24"/>
      <w:szCs w:val="24"/>
      <w:lang w:val="en-US"/>
    </w:rPr>
  </w:style>
  <w:style w:type="paragraph" w:customStyle="1" w:styleId="com-a">
    <w:name w:val="com-a"/>
    <w:basedOn w:val="Normal"/>
    <w:rsid w:val="004B5464"/>
    <w:pPr>
      <w:spacing w:before="180" w:line="240" w:lineRule="auto"/>
      <w:ind w:left="1134" w:hanging="1134"/>
    </w:pPr>
    <w:rPr>
      <w:rFonts w:ascii="Verdana" w:hAnsi="Verdana"/>
      <w:color w:val="000000"/>
      <w:sz w:val="16"/>
      <w:szCs w:val="16"/>
      <w:lang w:val="en-US"/>
    </w:rPr>
  </w:style>
  <w:style w:type="paragraph" w:customStyle="1" w:styleId="pf0">
    <w:name w:val="pf0"/>
    <w:basedOn w:val="Normal"/>
    <w:link w:val="pf0Char"/>
    <w:rsid w:val="004B5464"/>
    <w:pPr>
      <w:spacing w:before="100" w:beforeAutospacing="1" w:after="100" w:afterAutospacing="1" w:line="240" w:lineRule="auto"/>
      <w:jc w:val="left"/>
    </w:pPr>
    <w:rPr>
      <w:rFonts w:ascii="Times New Roman" w:hAnsi="Times New Roman"/>
      <w:sz w:val="24"/>
      <w:szCs w:val="24"/>
      <w:lang w:eastAsia="en-ZA"/>
    </w:rPr>
  </w:style>
  <w:style w:type="character" w:customStyle="1" w:styleId="cf01">
    <w:name w:val="cf01"/>
    <w:basedOn w:val="DefaultParagraphFont"/>
    <w:rsid w:val="004B5464"/>
    <w:rPr>
      <w:rFonts w:ascii="Segoe UI" w:hAnsi="Segoe UI" w:cs="Segoe UI" w:hint="default"/>
      <w:b/>
      <w:bCs/>
      <w:sz w:val="18"/>
      <w:szCs w:val="18"/>
      <w:shd w:val="clear" w:color="auto" w:fill="FFFF00"/>
    </w:rPr>
  </w:style>
  <w:style w:type="character" w:customStyle="1" w:styleId="cf11">
    <w:name w:val="cf11"/>
    <w:basedOn w:val="DefaultParagraphFont"/>
    <w:rsid w:val="004B5464"/>
    <w:rPr>
      <w:rFonts w:ascii="Segoe UI" w:hAnsi="Segoe UI" w:cs="Segoe UI" w:hint="default"/>
      <w:b/>
      <w:bCs/>
      <w:sz w:val="18"/>
      <w:szCs w:val="18"/>
    </w:rPr>
  </w:style>
  <w:style w:type="character" w:customStyle="1" w:styleId="cf21">
    <w:name w:val="cf21"/>
    <w:basedOn w:val="DefaultParagraphFont"/>
    <w:rsid w:val="004B5464"/>
    <w:rPr>
      <w:rFonts w:ascii="Segoe UI" w:hAnsi="Segoe UI" w:cs="Segoe UI" w:hint="default"/>
      <w:sz w:val="18"/>
      <w:szCs w:val="18"/>
    </w:rPr>
  </w:style>
  <w:style w:type="character" w:customStyle="1" w:styleId="cf31">
    <w:name w:val="cf31"/>
    <w:basedOn w:val="DefaultParagraphFont"/>
    <w:rsid w:val="004B5464"/>
    <w:rPr>
      <w:rFonts w:ascii="Segoe UI" w:hAnsi="Segoe UI" w:cs="Segoe UI" w:hint="default"/>
      <w:b/>
      <w:bCs/>
      <w:color w:val="FF0000"/>
      <w:sz w:val="18"/>
      <w:szCs w:val="18"/>
    </w:rPr>
  </w:style>
  <w:style w:type="paragraph" w:customStyle="1" w:styleId="pf1">
    <w:name w:val="pf1"/>
    <w:basedOn w:val="Normal"/>
    <w:rsid w:val="004B5464"/>
    <w:pPr>
      <w:spacing w:before="100" w:beforeAutospacing="1" w:after="100" w:afterAutospacing="1" w:line="240" w:lineRule="auto"/>
      <w:jc w:val="left"/>
    </w:pPr>
    <w:rPr>
      <w:rFonts w:ascii="Times New Roman" w:hAnsi="Times New Roman"/>
      <w:sz w:val="24"/>
      <w:szCs w:val="24"/>
      <w:lang w:eastAsia="en-ZA"/>
    </w:rPr>
  </w:style>
  <w:style w:type="paragraph" w:customStyle="1" w:styleId="pf2">
    <w:name w:val="pf2"/>
    <w:basedOn w:val="Normal"/>
    <w:rsid w:val="004B5464"/>
    <w:pPr>
      <w:spacing w:before="100" w:beforeAutospacing="1" w:after="100" w:afterAutospacing="1" w:line="240" w:lineRule="auto"/>
      <w:jc w:val="left"/>
    </w:pPr>
    <w:rPr>
      <w:rFonts w:ascii="Times New Roman" w:hAnsi="Times New Roman"/>
      <w:sz w:val="24"/>
      <w:szCs w:val="24"/>
      <w:lang w:eastAsia="en-ZA"/>
    </w:rPr>
  </w:style>
  <w:style w:type="paragraph" w:styleId="EndnoteText">
    <w:name w:val="endnote text"/>
    <w:basedOn w:val="Normal"/>
    <w:link w:val="EndnoteTextChar"/>
    <w:uiPriority w:val="99"/>
    <w:semiHidden/>
    <w:unhideWhenUsed/>
    <w:rsid w:val="004B5464"/>
    <w:pPr>
      <w:spacing w:line="240" w:lineRule="auto"/>
    </w:pPr>
    <w:rPr>
      <w:rFonts w:eastAsia="Arial" w:cs="Arial"/>
      <w:sz w:val="20"/>
      <w:szCs w:val="20"/>
      <w:lang w:val="en-US"/>
    </w:rPr>
  </w:style>
  <w:style w:type="character" w:customStyle="1" w:styleId="EndnoteTextChar">
    <w:name w:val="Endnote Text Char"/>
    <w:basedOn w:val="DefaultParagraphFont"/>
    <w:link w:val="EndnoteText"/>
    <w:uiPriority w:val="99"/>
    <w:semiHidden/>
    <w:rsid w:val="004B5464"/>
    <w:rPr>
      <w:rFonts w:ascii="Arial" w:eastAsia="Arial" w:hAnsi="Arial" w:cs="Arial"/>
      <w:sz w:val="20"/>
      <w:szCs w:val="20"/>
      <w:lang w:val="en-US" w:eastAsia="en-US"/>
    </w:rPr>
  </w:style>
  <w:style w:type="character" w:styleId="EndnoteReference">
    <w:name w:val="endnote reference"/>
    <w:basedOn w:val="DefaultParagraphFont"/>
    <w:uiPriority w:val="99"/>
    <w:semiHidden/>
    <w:unhideWhenUsed/>
    <w:rsid w:val="004B5464"/>
    <w:rPr>
      <w:vertAlign w:val="superscript"/>
    </w:rPr>
  </w:style>
  <w:style w:type="paragraph" w:styleId="BodyText3">
    <w:name w:val="Body Text 3"/>
    <w:basedOn w:val="Normal"/>
    <w:link w:val="BodyText3Char"/>
    <w:semiHidden/>
    <w:unhideWhenUsed/>
    <w:rsid w:val="0012104F"/>
    <w:pPr>
      <w:spacing w:after="120"/>
    </w:pPr>
    <w:rPr>
      <w:sz w:val="16"/>
      <w:szCs w:val="16"/>
    </w:rPr>
  </w:style>
  <w:style w:type="character" w:customStyle="1" w:styleId="BodyText3Char">
    <w:name w:val="Body Text 3 Char"/>
    <w:basedOn w:val="DefaultParagraphFont"/>
    <w:link w:val="BodyText3"/>
    <w:semiHidden/>
    <w:rsid w:val="0012104F"/>
    <w:rPr>
      <w:rFonts w:ascii="Arial" w:hAnsi="Arial"/>
      <w:sz w:val="16"/>
      <w:szCs w:val="16"/>
      <w:lang w:eastAsia="en-US"/>
    </w:rPr>
  </w:style>
  <w:style w:type="paragraph" w:customStyle="1" w:styleId="DAFN">
    <w:name w:val="DA FN"/>
    <w:basedOn w:val="FootnoteText"/>
    <w:link w:val="DAFNChar"/>
    <w:qFormat/>
    <w:rsid w:val="00F26F69"/>
    <w:pPr>
      <w:spacing w:line="240" w:lineRule="auto"/>
    </w:pPr>
    <w:rPr>
      <w:rFonts w:cs="Arial"/>
      <w:sz w:val="16"/>
      <w:szCs w:val="16"/>
      <w:lang w:val="en-US"/>
    </w:rPr>
  </w:style>
  <w:style w:type="character" w:customStyle="1" w:styleId="DAFNChar">
    <w:name w:val="DA FN Char"/>
    <w:basedOn w:val="FootnoteTextChar"/>
    <w:link w:val="DAFN"/>
    <w:rsid w:val="00F26F69"/>
    <w:rPr>
      <w:rFonts w:ascii="Arial" w:hAnsi="Arial" w:cs="Arial"/>
      <w:sz w:val="16"/>
      <w:szCs w:val="16"/>
      <w:lang w:val="en-US" w:eastAsia="en-GB"/>
    </w:rPr>
  </w:style>
  <w:style w:type="paragraph" w:customStyle="1" w:styleId="TableText">
    <w:name w:val="Table Text"/>
    <w:basedOn w:val="Normal"/>
    <w:rsid w:val="00F94521"/>
    <w:pPr>
      <w:tabs>
        <w:tab w:val="left" w:pos="432"/>
      </w:tabs>
      <w:suppressAutoHyphens/>
      <w:autoSpaceDE w:val="0"/>
      <w:autoSpaceDN w:val="0"/>
      <w:adjustRightInd w:val="0"/>
      <w:spacing w:after="240" w:line="240" w:lineRule="auto"/>
    </w:pPr>
    <w:rPr>
      <w:rFonts w:ascii="Times New Roman" w:hAnsi="Times New Roman"/>
      <w:sz w:val="24"/>
      <w:szCs w:val="24"/>
      <w:lang w:val="en-US" w:eastAsia="ja-JP"/>
    </w:rPr>
  </w:style>
  <w:style w:type="paragraph" w:customStyle="1" w:styleId="DAFG">
    <w:name w:val="DA FG"/>
    <w:basedOn w:val="pf0"/>
    <w:link w:val="DAFGChar"/>
    <w:qFormat/>
    <w:rsid w:val="00BB70D5"/>
    <w:pPr>
      <w:keepNext/>
      <w:keepLines/>
      <w:spacing w:before="0" w:beforeAutospacing="0" w:after="0" w:afterAutospacing="0"/>
      <w:jc w:val="both"/>
    </w:pPr>
    <w:rPr>
      <w:rFonts w:ascii="Arial" w:hAnsi="Arial" w:cs="Arial"/>
      <w:color w:val="A6A6A6" w:themeColor="background1" w:themeShade="A6"/>
      <w:sz w:val="16"/>
      <w:szCs w:val="16"/>
    </w:rPr>
  </w:style>
  <w:style w:type="character" w:customStyle="1" w:styleId="pf0Char">
    <w:name w:val="pf0 Char"/>
    <w:basedOn w:val="DefaultParagraphFont"/>
    <w:link w:val="pf0"/>
    <w:rsid w:val="00BB70D5"/>
  </w:style>
  <w:style w:type="character" w:customStyle="1" w:styleId="DAFGChar">
    <w:name w:val="DA FG Char"/>
    <w:basedOn w:val="pf0Char"/>
    <w:link w:val="DAFG"/>
    <w:rsid w:val="00BB70D5"/>
    <w:rPr>
      <w:rFonts w:ascii="Arial" w:hAnsi="Arial" w:cs="Arial"/>
      <w:color w:val="A6A6A6" w:themeColor="background1" w:themeShade="A6"/>
      <w:sz w:val="16"/>
      <w:szCs w:val="16"/>
    </w:rPr>
  </w:style>
  <w:style w:type="character" w:customStyle="1" w:styleId="HeaderChar">
    <w:name w:val="Header Char"/>
    <w:basedOn w:val="DefaultParagraphFont"/>
    <w:link w:val="Header"/>
    <w:uiPriority w:val="99"/>
    <w:rsid w:val="00665530"/>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481">
      <w:bodyDiv w:val="1"/>
      <w:marLeft w:val="0"/>
      <w:marRight w:val="0"/>
      <w:marTop w:val="0"/>
      <w:marBottom w:val="0"/>
      <w:divBdr>
        <w:top w:val="none" w:sz="0" w:space="0" w:color="auto"/>
        <w:left w:val="none" w:sz="0" w:space="0" w:color="auto"/>
        <w:bottom w:val="none" w:sz="0" w:space="0" w:color="auto"/>
        <w:right w:val="none" w:sz="0" w:space="0" w:color="auto"/>
      </w:divBdr>
    </w:div>
    <w:div w:id="14885202">
      <w:bodyDiv w:val="1"/>
      <w:marLeft w:val="0"/>
      <w:marRight w:val="0"/>
      <w:marTop w:val="0"/>
      <w:marBottom w:val="0"/>
      <w:divBdr>
        <w:top w:val="none" w:sz="0" w:space="0" w:color="auto"/>
        <w:left w:val="none" w:sz="0" w:space="0" w:color="auto"/>
        <w:bottom w:val="none" w:sz="0" w:space="0" w:color="auto"/>
        <w:right w:val="none" w:sz="0" w:space="0" w:color="auto"/>
      </w:divBdr>
    </w:div>
    <w:div w:id="27997976">
      <w:bodyDiv w:val="1"/>
      <w:marLeft w:val="0"/>
      <w:marRight w:val="0"/>
      <w:marTop w:val="0"/>
      <w:marBottom w:val="0"/>
      <w:divBdr>
        <w:top w:val="none" w:sz="0" w:space="0" w:color="auto"/>
        <w:left w:val="none" w:sz="0" w:space="0" w:color="auto"/>
        <w:bottom w:val="none" w:sz="0" w:space="0" w:color="auto"/>
        <w:right w:val="none" w:sz="0" w:space="0" w:color="auto"/>
      </w:divBdr>
    </w:div>
    <w:div w:id="49038105">
      <w:bodyDiv w:val="1"/>
      <w:marLeft w:val="0"/>
      <w:marRight w:val="0"/>
      <w:marTop w:val="0"/>
      <w:marBottom w:val="0"/>
      <w:divBdr>
        <w:top w:val="none" w:sz="0" w:space="0" w:color="auto"/>
        <w:left w:val="none" w:sz="0" w:space="0" w:color="auto"/>
        <w:bottom w:val="none" w:sz="0" w:space="0" w:color="auto"/>
        <w:right w:val="none" w:sz="0" w:space="0" w:color="auto"/>
      </w:divBdr>
    </w:div>
    <w:div w:id="90055581">
      <w:bodyDiv w:val="1"/>
      <w:marLeft w:val="0"/>
      <w:marRight w:val="0"/>
      <w:marTop w:val="0"/>
      <w:marBottom w:val="0"/>
      <w:divBdr>
        <w:top w:val="none" w:sz="0" w:space="0" w:color="auto"/>
        <w:left w:val="none" w:sz="0" w:space="0" w:color="auto"/>
        <w:bottom w:val="none" w:sz="0" w:space="0" w:color="auto"/>
        <w:right w:val="none" w:sz="0" w:space="0" w:color="auto"/>
      </w:divBdr>
    </w:div>
    <w:div w:id="94638627">
      <w:bodyDiv w:val="1"/>
      <w:marLeft w:val="0"/>
      <w:marRight w:val="0"/>
      <w:marTop w:val="0"/>
      <w:marBottom w:val="0"/>
      <w:divBdr>
        <w:top w:val="none" w:sz="0" w:space="0" w:color="auto"/>
        <w:left w:val="none" w:sz="0" w:space="0" w:color="auto"/>
        <w:bottom w:val="none" w:sz="0" w:space="0" w:color="auto"/>
        <w:right w:val="none" w:sz="0" w:space="0" w:color="auto"/>
      </w:divBdr>
    </w:div>
    <w:div w:id="104077459">
      <w:bodyDiv w:val="1"/>
      <w:marLeft w:val="0"/>
      <w:marRight w:val="0"/>
      <w:marTop w:val="0"/>
      <w:marBottom w:val="0"/>
      <w:divBdr>
        <w:top w:val="none" w:sz="0" w:space="0" w:color="auto"/>
        <w:left w:val="none" w:sz="0" w:space="0" w:color="auto"/>
        <w:bottom w:val="none" w:sz="0" w:space="0" w:color="auto"/>
        <w:right w:val="none" w:sz="0" w:space="0" w:color="auto"/>
      </w:divBdr>
    </w:div>
    <w:div w:id="127088520">
      <w:bodyDiv w:val="1"/>
      <w:marLeft w:val="0"/>
      <w:marRight w:val="0"/>
      <w:marTop w:val="0"/>
      <w:marBottom w:val="0"/>
      <w:divBdr>
        <w:top w:val="none" w:sz="0" w:space="0" w:color="auto"/>
        <w:left w:val="none" w:sz="0" w:space="0" w:color="auto"/>
        <w:bottom w:val="none" w:sz="0" w:space="0" w:color="auto"/>
        <w:right w:val="none" w:sz="0" w:space="0" w:color="auto"/>
      </w:divBdr>
    </w:div>
    <w:div w:id="184053766">
      <w:bodyDiv w:val="1"/>
      <w:marLeft w:val="0"/>
      <w:marRight w:val="0"/>
      <w:marTop w:val="0"/>
      <w:marBottom w:val="0"/>
      <w:divBdr>
        <w:top w:val="none" w:sz="0" w:space="0" w:color="auto"/>
        <w:left w:val="none" w:sz="0" w:space="0" w:color="auto"/>
        <w:bottom w:val="none" w:sz="0" w:space="0" w:color="auto"/>
        <w:right w:val="none" w:sz="0" w:space="0" w:color="auto"/>
      </w:divBdr>
    </w:div>
    <w:div w:id="220336137">
      <w:bodyDiv w:val="1"/>
      <w:marLeft w:val="0"/>
      <w:marRight w:val="0"/>
      <w:marTop w:val="0"/>
      <w:marBottom w:val="0"/>
      <w:divBdr>
        <w:top w:val="none" w:sz="0" w:space="0" w:color="auto"/>
        <w:left w:val="none" w:sz="0" w:space="0" w:color="auto"/>
        <w:bottom w:val="none" w:sz="0" w:space="0" w:color="auto"/>
        <w:right w:val="none" w:sz="0" w:space="0" w:color="auto"/>
      </w:divBdr>
      <w:divsChild>
        <w:div w:id="663895218">
          <w:marLeft w:val="225"/>
          <w:marRight w:val="0"/>
          <w:marTop w:val="0"/>
          <w:marBottom w:val="0"/>
          <w:divBdr>
            <w:top w:val="none" w:sz="0" w:space="0" w:color="auto"/>
            <w:left w:val="none" w:sz="0" w:space="0" w:color="auto"/>
            <w:bottom w:val="none" w:sz="0" w:space="0" w:color="auto"/>
            <w:right w:val="none" w:sz="0" w:space="0" w:color="auto"/>
          </w:divBdr>
        </w:div>
      </w:divsChild>
    </w:div>
    <w:div w:id="243800482">
      <w:bodyDiv w:val="1"/>
      <w:marLeft w:val="0"/>
      <w:marRight w:val="0"/>
      <w:marTop w:val="0"/>
      <w:marBottom w:val="0"/>
      <w:divBdr>
        <w:top w:val="none" w:sz="0" w:space="0" w:color="auto"/>
        <w:left w:val="none" w:sz="0" w:space="0" w:color="auto"/>
        <w:bottom w:val="none" w:sz="0" w:space="0" w:color="auto"/>
        <w:right w:val="none" w:sz="0" w:space="0" w:color="auto"/>
      </w:divBdr>
    </w:div>
    <w:div w:id="268784557">
      <w:bodyDiv w:val="1"/>
      <w:marLeft w:val="0"/>
      <w:marRight w:val="0"/>
      <w:marTop w:val="0"/>
      <w:marBottom w:val="0"/>
      <w:divBdr>
        <w:top w:val="none" w:sz="0" w:space="0" w:color="auto"/>
        <w:left w:val="none" w:sz="0" w:space="0" w:color="auto"/>
        <w:bottom w:val="none" w:sz="0" w:space="0" w:color="auto"/>
        <w:right w:val="none" w:sz="0" w:space="0" w:color="auto"/>
      </w:divBdr>
    </w:div>
    <w:div w:id="270816628">
      <w:bodyDiv w:val="1"/>
      <w:marLeft w:val="0"/>
      <w:marRight w:val="0"/>
      <w:marTop w:val="0"/>
      <w:marBottom w:val="0"/>
      <w:divBdr>
        <w:top w:val="none" w:sz="0" w:space="0" w:color="auto"/>
        <w:left w:val="none" w:sz="0" w:space="0" w:color="auto"/>
        <w:bottom w:val="none" w:sz="0" w:space="0" w:color="auto"/>
        <w:right w:val="none" w:sz="0" w:space="0" w:color="auto"/>
      </w:divBdr>
    </w:div>
    <w:div w:id="474416154">
      <w:bodyDiv w:val="1"/>
      <w:marLeft w:val="0"/>
      <w:marRight w:val="0"/>
      <w:marTop w:val="0"/>
      <w:marBottom w:val="0"/>
      <w:divBdr>
        <w:top w:val="none" w:sz="0" w:space="0" w:color="auto"/>
        <w:left w:val="none" w:sz="0" w:space="0" w:color="auto"/>
        <w:bottom w:val="none" w:sz="0" w:space="0" w:color="auto"/>
        <w:right w:val="none" w:sz="0" w:space="0" w:color="auto"/>
      </w:divBdr>
    </w:div>
    <w:div w:id="491259096">
      <w:bodyDiv w:val="1"/>
      <w:marLeft w:val="0"/>
      <w:marRight w:val="0"/>
      <w:marTop w:val="0"/>
      <w:marBottom w:val="0"/>
      <w:divBdr>
        <w:top w:val="none" w:sz="0" w:space="0" w:color="auto"/>
        <w:left w:val="none" w:sz="0" w:space="0" w:color="auto"/>
        <w:bottom w:val="none" w:sz="0" w:space="0" w:color="auto"/>
        <w:right w:val="none" w:sz="0" w:space="0" w:color="auto"/>
      </w:divBdr>
    </w:div>
    <w:div w:id="524752091">
      <w:bodyDiv w:val="1"/>
      <w:marLeft w:val="0"/>
      <w:marRight w:val="0"/>
      <w:marTop w:val="0"/>
      <w:marBottom w:val="0"/>
      <w:divBdr>
        <w:top w:val="none" w:sz="0" w:space="0" w:color="auto"/>
        <w:left w:val="none" w:sz="0" w:space="0" w:color="auto"/>
        <w:bottom w:val="none" w:sz="0" w:space="0" w:color="auto"/>
        <w:right w:val="none" w:sz="0" w:space="0" w:color="auto"/>
      </w:divBdr>
    </w:div>
    <w:div w:id="589390628">
      <w:bodyDiv w:val="1"/>
      <w:marLeft w:val="0"/>
      <w:marRight w:val="0"/>
      <w:marTop w:val="0"/>
      <w:marBottom w:val="0"/>
      <w:divBdr>
        <w:top w:val="none" w:sz="0" w:space="0" w:color="auto"/>
        <w:left w:val="none" w:sz="0" w:space="0" w:color="auto"/>
        <w:bottom w:val="none" w:sz="0" w:space="0" w:color="auto"/>
        <w:right w:val="none" w:sz="0" w:space="0" w:color="auto"/>
      </w:divBdr>
    </w:div>
    <w:div w:id="641470055">
      <w:bodyDiv w:val="1"/>
      <w:marLeft w:val="0"/>
      <w:marRight w:val="0"/>
      <w:marTop w:val="0"/>
      <w:marBottom w:val="0"/>
      <w:divBdr>
        <w:top w:val="none" w:sz="0" w:space="0" w:color="auto"/>
        <w:left w:val="none" w:sz="0" w:space="0" w:color="auto"/>
        <w:bottom w:val="none" w:sz="0" w:space="0" w:color="auto"/>
        <w:right w:val="none" w:sz="0" w:space="0" w:color="auto"/>
      </w:divBdr>
    </w:div>
    <w:div w:id="665863617">
      <w:bodyDiv w:val="1"/>
      <w:marLeft w:val="0"/>
      <w:marRight w:val="0"/>
      <w:marTop w:val="0"/>
      <w:marBottom w:val="0"/>
      <w:divBdr>
        <w:top w:val="none" w:sz="0" w:space="0" w:color="auto"/>
        <w:left w:val="none" w:sz="0" w:space="0" w:color="auto"/>
        <w:bottom w:val="none" w:sz="0" w:space="0" w:color="auto"/>
        <w:right w:val="none" w:sz="0" w:space="0" w:color="auto"/>
      </w:divBdr>
    </w:div>
    <w:div w:id="734746795">
      <w:bodyDiv w:val="1"/>
      <w:marLeft w:val="0"/>
      <w:marRight w:val="0"/>
      <w:marTop w:val="0"/>
      <w:marBottom w:val="0"/>
      <w:divBdr>
        <w:top w:val="none" w:sz="0" w:space="0" w:color="auto"/>
        <w:left w:val="none" w:sz="0" w:space="0" w:color="auto"/>
        <w:bottom w:val="none" w:sz="0" w:space="0" w:color="auto"/>
        <w:right w:val="none" w:sz="0" w:space="0" w:color="auto"/>
      </w:divBdr>
    </w:div>
    <w:div w:id="762457823">
      <w:bodyDiv w:val="1"/>
      <w:marLeft w:val="0"/>
      <w:marRight w:val="0"/>
      <w:marTop w:val="0"/>
      <w:marBottom w:val="0"/>
      <w:divBdr>
        <w:top w:val="none" w:sz="0" w:space="0" w:color="auto"/>
        <w:left w:val="none" w:sz="0" w:space="0" w:color="auto"/>
        <w:bottom w:val="none" w:sz="0" w:space="0" w:color="auto"/>
        <w:right w:val="none" w:sz="0" w:space="0" w:color="auto"/>
      </w:divBdr>
    </w:div>
    <w:div w:id="803278134">
      <w:bodyDiv w:val="1"/>
      <w:marLeft w:val="0"/>
      <w:marRight w:val="0"/>
      <w:marTop w:val="0"/>
      <w:marBottom w:val="0"/>
      <w:divBdr>
        <w:top w:val="none" w:sz="0" w:space="0" w:color="auto"/>
        <w:left w:val="none" w:sz="0" w:space="0" w:color="auto"/>
        <w:bottom w:val="none" w:sz="0" w:space="0" w:color="auto"/>
        <w:right w:val="none" w:sz="0" w:space="0" w:color="auto"/>
      </w:divBdr>
    </w:div>
    <w:div w:id="824665388">
      <w:bodyDiv w:val="1"/>
      <w:marLeft w:val="0"/>
      <w:marRight w:val="0"/>
      <w:marTop w:val="0"/>
      <w:marBottom w:val="0"/>
      <w:divBdr>
        <w:top w:val="none" w:sz="0" w:space="0" w:color="auto"/>
        <w:left w:val="none" w:sz="0" w:space="0" w:color="auto"/>
        <w:bottom w:val="none" w:sz="0" w:space="0" w:color="auto"/>
        <w:right w:val="none" w:sz="0" w:space="0" w:color="auto"/>
      </w:divBdr>
    </w:div>
    <w:div w:id="847792168">
      <w:bodyDiv w:val="1"/>
      <w:marLeft w:val="0"/>
      <w:marRight w:val="0"/>
      <w:marTop w:val="0"/>
      <w:marBottom w:val="0"/>
      <w:divBdr>
        <w:top w:val="none" w:sz="0" w:space="0" w:color="auto"/>
        <w:left w:val="none" w:sz="0" w:space="0" w:color="auto"/>
        <w:bottom w:val="none" w:sz="0" w:space="0" w:color="auto"/>
        <w:right w:val="none" w:sz="0" w:space="0" w:color="auto"/>
      </w:divBdr>
    </w:div>
    <w:div w:id="858927115">
      <w:bodyDiv w:val="1"/>
      <w:marLeft w:val="0"/>
      <w:marRight w:val="0"/>
      <w:marTop w:val="0"/>
      <w:marBottom w:val="0"/>
      <w:divBdr>
        <w:top w:val="none" w:sz="0" w:space="0" w:color="auto"/>
        <w:left w:val="none" w:sz="0" w:space="0" w:color="auto"/>
        <w:bottom w:val="none" w:sz="0" w:space="0" w:color="auto"/>
        <w:right w:val="none" w:sz="0" w:space="0" w:color="auto"/>
      </w:divBdr>
    </w:div>
    <w:div w:id="885023150">
      <w:bodyDiv w:val="1"/>
      <w:marLeft w:val="0"/>
      <w:marRight w:val="0"/>
      <w:marTop w:val="0"/>
      <w:marBottom w:val="0"/>
      <w:divBdr>
        <w:top w:val="none" w:sz="0" w:space="0" w:color="auto"/>
        <w:left w:val="none" w:sz="0" w:space="0" w:color="auto"/>
        <w:bottom w:val="none" w:sz="0" w:space="0" w:color="auto"/>
        <w:right w:val="none" w:sz="0" w:space="0" w:color="auto"/>
      </w:divBdr>
    </w:div>
    <w:div w:id="888419819">
      <w:bodyDiv w:val="1"/>
      <w:marLeft w:val="0"/>
      <w:marRight w:val="0"/>
      <w:marTop w:val="0"/>
      <w:marBottom w:val="0"/>
      <w:divBdr>
        <w:top w:val="none" w:sz="0" w:space="0" w:color="auto"/>
        <w:left w:val="none" w:sz="0" w:space="0" w:color="auto"/>
        <w:bottom w:val="none" w:sz="0" w:space="0" w:color="auto"/>
        <w:right w:val="none" w:sz="0" w:space="0" w:color="auto"/>
      </w:divBdr>
    </w:div>
    <w:div w:id="898899172">
      <w:bodyDiv w:val="1"/>
      <w:marLeft w:val="0"/>
      <w:marRight w:val="0"/>
      <w:marTop w:val="0"/>
      <w:marBottom w:val="0"/>
      <w:divBdr>
        <w:top w:val="none" w:sz="0" w:space="0" w:color="auto"/>
        <w:left w:val="none" w:sz="0" w:space="0" w:color="auto"/>
        <w:bottom w:val="none" w:sz="0" w:space="0" w:color="auto"/>
        <w:right w:val="none" w:sz="0" w:space="0" w:color="auto"/>
      </w:divBdr>
      <w:divsChild>
        <w:div w:id="923950431">
          <w:marLeft w:val="225"/>
          <w:marRight w:val="0"/>
          <w:marTop w:val="0"/>
          <w:marBottom w:val="0"/>
          <w:divBdr>
            <w:top w:val="none" w:sz="0" w:space="0" w:color="auto"/>
            <w:left w:val="none" w:sz="0" w:space="0" w:color="auto"/>
            <w:bottom w:val="none" w:sz="0" w:space="0" w:color="auto"/>
            <w:right w:val="none" w:sz="0" w:space="0" w:color="auto"/>
          </w:divBdr>
        </w:div>
      </w:divsChild>
    </w:div>
    <w:div w:id="901403125">
      <w:bodyDiv w:val="1"/>
      <w:marLeft w:val="0"/>
      <w:marRight w:val="0"/>
      <w:marTop w:val="0"/>
      <w:marBottom w:val="0"/>
      <w:divBdr>
        <w:top w:val="none" w:sz="0" w:space="0" w:color="auto"/>
        <w:left w:val="none" w:sz="0" w:space="0" w:color="auto"/>
        <w:bottom w:val="none" w:sz="0" w:space="0" w:color="auto"/>
        <w:right w:val="none" w:sz="0" w:space="0" w:color="auto"/>
      </w:divBdr>
    </w:div>
    <w:div w:id="904686213">
      <w:bodyDiv w:val="1"/>
      <w:marLeft w:val="0"/>
      <w:marRight w:val="0"/>
      <w:marTop w:val="0"/>
      <w:marBottom w:val="0"/>
      <w:divBdr>
        <w:top w:val="none" w:sz="0" w:space="0" w:color="auto"/>
        <w:left w:val="none" w:sz="0" w:space="0" w:color="auto"/>
        <w:bottom w:val="none" w:sz="0" w:space="0" w:color="auto"/>
        <w:right w:val="none" w:sz="0" w:space="0" w:color="auto"/>
      </w:divBdr>
    </w:div>
    <w:div w:id="908419554">
      <w:bodyDiv w:val="1"/>
      <w:marLeft w:val="0"/>
      <w:marRight w:val="0"/>
      <w:marTop w:val="0"/>
      <w:marBottom w:val="0"/>
      <w:divBdr>
        <w:top w:val="none" w:sz="0" w:space="0" w:color="auto"/>
        <w:left w:val="none" w:sz="0" w:space="0" w:color="auto"/>
        <w:bottom w:val="none" w:sz="0" w:space="0" w:color="auto"/>
        <w:right w:val="none" w:sz="0" w:space="0" w:color="auto"/>
      </w:divBdr>
    </w:div>
    <w:div w:id="917058113">
      <w:bodyDiv w:val="1"/>
      <w:marLeft w:val="0"/>
      <w:marRight w:val="0"/>
      <w:marTop w:val="0"/>
      <w:marBottom w:val="0"/>
      <w:divBdr>
        <w:top w:val="none" w:sz="0" w:space="0" w:color="auto"/>
        <w:left w:val="none" w:sz="0" w:space="0" w:color="auto"/>
        <w:bottom w:val="none" w:sz="0" w:space="0" w:color="auto"/>
        <w:right w:val="none" w:sz="0" w:space="0" w:color="auto"/>
      </w:divBdr>
    </w:div>
    <w:div w:id="920607356">
      <w:bodyDiv w:val="1"/>
      <w:marLeft w:val="0"/>
      <w:marRight w:val="0"/>
      <w:marTop w:val="0"/>
      <w:marBottom w:val="0"/>
      <w:divBdr>
        <w:top w:val="none" w:sz="0" w:space="0" w:color="auto"/>
        <w:left w:val="none" w:sz="0" w:space="0" w:color="auto"/>
        <w:bottom w:val="none" w:sz="0" w:space="0" w:color="auto"/>
        <w:right w:val="none" w:sz="0" w:space="0" w:color="auto"/>
      </w:divBdr>
    </w:div>
    <w:div w:id="938949767">
      <w:bodyDiv w:val="1"/>
      <w:marLeft w:val="0"/>
      <w:marRight w:val="0"/>
      <w:marTop w:val="0"/>
      <w:marBottom w:val="0"/>
      <w:divBdr>
        <w:top w:val="none" w:sz="0" w:space="0" w:color="auto"/>
        <w:left w:val="none" w:sz="0" w:space="0" w:color="auto"/>
        <w:bottom w:val="none" w:sz="0" w:space="0" w:color="auto"/>
        <w:right w:val="none" w:sz="0" w:space="0" w:color="auto"/>
      </w:divBdr>
    </w:div>
    <w:div w:id="947201230">
      <w:bodyDiv w:val="1"/>
      <w:marLeft w:val="0"/>
      <w:marRight w:val="0"/>
      <w:marTop w:val="0"/>
      <w:marBottom w:val="0"/>
      <w:divBdr>
        <w:top w:val="none" w:sz="0" w:space="0" w:color="auto"/>
        <w:left w:val="none" w:sz="0" w:space="0" w:color="auto"/>
        <w:bottom w:val="none" w:sz="0" w:space="0" w:color="auto"/>
        <w:right w:val="none" w:sz="0" w:space="0" w:color="auto"/>
      </w:divBdr>
    </w:div>
    <w:div w:id="978606648">
      <w:bodyDiv w:val="1"/>
      <w:marLeft w:val="0"/>
      <w:marRight w:val="0"/>
      <w:marTop w:val="0"/>
      <w:marBottom w:val="0"/>
      <w:divBdr>
        <w:top w:val="none" w:sz="0" w:space="0" w:color="auto"/>
        <w:left w:val="none" w:sz="0" w:space="0" w:color="auto"/>
        <w:bottom w:val="none" w:sz="0" w:space="0" w:color="auto"/>
        <w:right w:val="none" w:sz="0" w:space="0" w:color="auto"/>
      </w:divBdr>
    </w:div>
    <w:div w:id="992949191">
      <w:bodyDiv w:val="1"/>
      <w:marLeft w:val="0"/>
      <w:marRight w:val="0"/>
      <w:marTop w:val="0"/>
      <w:marBottom w:val="0"/>
      <w:divBdr>
        <w:top w:val="none" w:sz="0" w:space="0" w:color="auto"/>
        <w:left w:val="none" w:sz="0" w:space="0" w:color="auto"/>
        <w:bottom w:val="none" w:sz="0" w:space="0" w:color="auto"/>
        <w:right w:val="none" w:sz="0" w:space="0" w:color="auto"/>
      </w:divBdr>
    </w:div>
    <w:div w:id="1001274025">
      <w:bodyDiv w:val="1"/>
      <w:marLeft w:val="0"/>
      <w:marRight w:val="0"/>
      <w:marTop w:val="0"/>
      <w:marBottom w:val="0"/>
      <w:divBdr>
        <w:top w:val="none" w:sz="0" w:space="0" w:color="auto"/>
        <w:left w:val="none" w:sz="0" w:space="0" w:color="auto"/>
        <w:bottom w:val="none" w:sz="0" w:space="0" w:color="auto"/>
        <w:right w:val="none" w:sz="0" w:space="0" w:color="auto"/>
      </w:divBdr>
    </w:div>
    <w:div w:id="1006903759">
      <w:bodyDiv w:val="1"/>
      <w:marLeft w:val="0"/>
      <w:marRight w:val="0"/>
      <w:marTop w:val="0"/>
      <w:marBottom w:val="0"/>
      <w:divBdr>
        <w:top w:val="none" w:sz="0" w:space="0" w:color="auto"/>
        <w:left w:val="none" w:sz="0" w:space="0" w:color="auto"/>
        <w:bottom w:val="none" w:sz="0" w:space="0" w:color="auto"/>
        <w:right w:val="none" w:sz="0" w:space="0" w:color="auto"/>
      </w:divBdr>
    </w:div>
    <w:div w:id="1027290135">
      <w:bodyDiv w:val="1"/>
      <w:marLeft w:val="0"/>
      <w:marRight w:val="0"/>
      <w:marTop w:val="0"/>
      <w:marBottom w:val="0"/>
      <w:divBdr>
        <w:top w:val="none" w:sz="0" w:space="0" w:color="auto"/>
        <w:left w:val="none" w:sz="0" w:space="0" w:color="auto"/>
        <w:bottom w:val="none" w:sz="0" w:space="0" w:color="auto"/>
        <w:right w:val="none" w:sz="0" w:space="0" w:color="auto"/>
      </w:divBdr>
    </w:div>
    <w:div w:id="1028289370">
      <w:bodyDiv w:val="1"/>
      <w:marLeft w:val="0"/>
      <w:marRight w:val="0"/>
      <w:marTop w:val="0"/>
      <w:marBottom w:val="0"/>
      <w:divBdr>
        <w:top w:val="none" w:sz="0" w:space="0" w:color="auto"/>
        <w:left w:val="none" w:sz="0" w:space="0" w:color="auto"/>
        <w:bottom w:val="none" w:sz="0" w:space="0" w:color="auto"/>
        <w:right w:val="none" w:sz="0" w:space="0" w:color="auto"/>
      </w:divBdr>
    </w:div>
    <w:div w:id="1032069455">
      <w:bodyDiv w:val="1"/>
      <w:marLeft w:val="0"/>
      <w:marRight w:val="0"/>
      <w:marTop w:val="0"/>
      <w:marBottom w:val="0"/>
      <w:divBdr>
        <w:top w:val="none" w:sz="0" w:space="0" w:color="auto"/>
        <w:left w:val="none" w:sz="0" w:space="0" w:color="auto"/>
        <w:bottom w:val="none" w:sz="0" w:space="0" w:color="auto"/>
        <w:right w:val="none" w:sz="0" w:space="0" w:color="auto"/>
      </w:divBdr>
    </w:div>
    <w:div w:id="1094286093">
      <w:bodyDiv w:val="1"/>
      <w:marLeft w:val="0"/>
      <w:marRight w:val="0"/>
      <w:marTop w:val="0"/>
      <w:marBottom w:val="0"/>
      <w:divBdr>
        <w:top w:val="none" w:sz="0" w:space="0" w:color="auto"/>
        <w:left w:val="none" w:sz="0" w:space="0" w:color="auto"/>
        <w:bottom w:val="none" w:sz="0" w:space="0" w:color="auto"/>
        <w:right w:val="none" w:sz="0" w:space="0" w:color="auto"/>
      </w:divBdr>
    </w:div>
    <w:div w:id="1145858973">
      <w:bodyDiv w:val="1"/>
      <w:marLeft w:val="0"/>
      <w:marRight w:val="0"/>
      <w:marTop w:val="0"/>
      <w:marBottom w:val="0"/>
      <w:divBdr>
        <w:top w:val="none" w:sz="0" w:space="0" w:color="auto"/>
        <w:left w:val="none" w:sz="0" w:space="0" w:color="auto"/>
        <w:bottom w:val="none" w:sz="0" w:space="0" w:color="auto"/>
        <w:right w:val="none" w:sz="0" w:space="0" w:color="auto"/>
      </w:divBdr>
    </w:div>
    <w:div w:id="1198422184">
      <w:bodyDiv w:val="1"/>
      <w:marLeft w:val="0"/>
      <w:marRight w:val="0"/>
      <w:marTop w:val="0"/>
      <w:marBottom w:val="0"/>
      <w:divBdr>
        <w:top w:val="none" w:sz="0" w:space="0" w:color="auto"/>
        <w:left w:val="none" w:sz="0" w:space="0" w:color="auto"/>
        <w:bottom w:val="none" w:sz="0" w:space="0" w:color="auto"/>
        <w:right w:val="none" w:sz="0" w:space="0" w:color="auto"/>
      </w:divBdr>
    </w:div>
    <w:div w:id="1230923190">
      <w:bodyDiv w:val="1"/>
      <w:marLeft w:val="0"/>
      <w:marRight w:val="0"/>
      <w:marTop w:val="0"/>
      <w:marBottom w:val="0"/>
      <w:divBdr>
        <w:top w:val="none" w:sz="0" w:space="0" w:color="auto"/>
        <w:left w:val="none" w:sz="0" w:space="0" w:color="auto"/>
        <w:bottom w:val="none" w:sz="0" w:space="0" w:color="auto"/>
        <w:right w:val="none" w:sz="0" w:space="0" w:color="auto"/>
      </w:divBdr>
    </w:div>
    <w:div w:id="1234925369">
      <w:bodyDiv w:val="1"/>
      <w:marLeft w:val="0"/>
      <w:marRight w:val="0"/>
      <w:marTop w:val="0"/>
      <w:marBottom w:val="0"/>
      <w:divBdr>
        <w:top w:val="none" w:sz="0" w:space="0" w:color="auto"/>
        <w:left w:val="none" w:sz="0" w:space="0" w:color="auto"/>
        <w:bottom w:val="none" w:sz="0" w:space="0" w:color="auto"/>
        <w:right w:val="none" w:sz="0" w:space="0" w:color="auto"/>
      </w:divBdr>
    </w:div>
    <w:div w:id="1237009843">
      <w:bodyDiv w:val="1"/>
      <w:marLeft w:val="0"/>
      <w:marRight w:val="0"/>
      <w:marTop w:val="0"/>
      <w:marBottom w:val="0"/>
      <w:divBdr>
        <w:top w:val="none" w:sz="0" w:space="0" w:color="auto"/>
        <w:left w:val="none" w:sz="0" w:space="0" w:color="auto"/>
        <w:bottom w:val="none" w:sz="0" w:space="0" w:color="auto"/>
        <w:right w:val="none" w:sz="0" w:space="0" w:color="auto"/>
      </w:divBdr>
    </w:div>
    <w:div w:id="1250769266">
      <w:bodyDiv w:val="1"/>
      <w:marLeft w:val="0"/>
      <w:marRight w:val="0"/>
      <w:marTop w:val="0"/>
      <w:marBottom w:val="0"/>
      <w:divBdr>
        <w:top w:val="none" w:sz="0" w:space="0" w:color="auto"/>
        <w:left w:val="none" w:sz="0" w:space="0" w:color="auto"/>
        <w:bottom w:val="none" w:sz="0" w:space="0" w:color="auto"/>
        <w:right w:val="none" w:sz="0" w:space="0" w:color="auto"/>
      </w:divBdr>
      <w:divsChild>
        <w:div w:id="710956480">
          <w:marLeft w:val="225"/>
          <w:marRight w:val="0"/>
          <w:marTop w:val="0"/>
          <w:marBottom w:val="0"/>
          <w:divBdr>
            <w:top w:val="none" w:sz="0" w:space="0" w:color="auto"/>
            <w:left w:val="none" w:sz="0" w:space="0" w:color="auto"/>
            <w:bottom w:val="none" w:sz="0" w:space="0" w:color="auto"/>
            <w:right w:val="none" w:sz="0" w:space="0" w:color="auto"/>
          </w:divBdr>
        </w:div>
      </w:divsChild>
    </w:div>
    <w:div w:id="1256398763">
      <w:bodyDiv w:val="1"/>
      <w:marLeft w:val="0"/>
      <w:marRight w:val="0"/>
      <w:marTop w:val="0"/>
      <w:marBottom w:val="0"/>
      <w:divBdr>
        <w:top w:val="none" w:sz="0" w:space="0" w:color="auto"/>
        <w:left w:val="none" w:sz="0" w:space="0" w:color="auto"/>
        <w:bottom w:val="none" w:sz="0" w:space="0" w:color="auto"/>
        <w:right w:val="none" w:sz="0" w:space="0" w:color="auto"/>
      </w:divBdr>
    </w:div>
    <w:div w:id="1258322928">
      <w:bodyDiv w:val="1"/>
      <w:marLeft w:val="0"/>
      <w:marRight w:val="0"/>
      <w:marTop w:val="0"/>
      <w:marBottom w:val="0"/>
      <w:divBdr>
        <w:top w:val="none" w:sz="0" w:space="0" w:color="auto"/>
        <w:left w:val="none" w:sz="0" w:space="0" w:color="auto"/>
        <w:bottom w:val="none" w:sz="0" w:space="0" w:color="auto"/>
        <w:right w:val="none" w:sz="0" w:space="0" w:color="auto"/>
      </w:divBdr>
    </w:div>
    <w:div w:id="1314989273">
      <w:bodyDiv w:val="1"/>
      <w:marLeft w:val="0"/>
      <w:marRight w:val="0"/>
      <w:marTop w:val="0"/>
      <w:marBottom w:val="0"/>
      <w:divBdr>
        <w:top w:val="none" w:sz="0" w:space="0" w:color="auto"/>
        <w:left w:val="none" w:sz="0" w:space="0" w:color="auto"/>
        <w:bottom w:val="none" w:sz="0" w:space="0" w:color="auto"/>
        <w:right w:val="none" w:sz="0" w:space="0" w:color="auto"/>
      </w:divBdr>
    </w:div>
    <w:div w:id="1323923078">
      <w:bodyDiv w:val="1"/>
      <w:marLeft w:val="0"/>
      <w:marRight w:val="0"/>
      <w:marTop w:val="0"/>
      <w:marBottom w:val="0"/>
      <w:divBdr>
        <w:top w:val="none" w:sz="0" w:space="0" w:color="auto"/>
        <w:left w:val="none" w:sz="0" w:space="0" w:color="auto"/>
        <w:bottom w:val="none" w:sz="0" w:space="0" w:color="auto"/>
        <w:right w:val="none" w:sz="0" w:space="0" w:color="auto"/>
      </w:divBdr>
    </w:div>
    <w:div w:id="1336684387">
      <w:bodyDiv w:val="1"/>
      <w:marLeft w:val="0"/>
      <w:marRight w:val="0"/>
      <w:marTop w:val="0"/>
      <w:marBottom w:val="0"/>
      <w:divBdr>
        <w:top w:val="none" w:sz="0" w:space="0" w:color="auto"/>
        <w:left w:val="none" w:sz="0" w:space="0" w:color="auto"/>
        <w:bottom w:val="none" w:sz="0" w:space="0" w:color="auto"/>
        <w:right w:val="none" w:sz="0" w:space="0" w:color="auto"/>
      </w:divBdr>
    </w:div>
    <w:div w:id="1383597581">
      <w:bodyDiv w:val="1"/>
      <w:marLeft w:val="0"/>
      <w:marRight w:val="0"/>
      <w:marTop w:val="0"/>
      <w:marBottom w:val="0"/>
      <w:divBdr>
        <w:top w:val="none" w:sz="0" w:space="0" w:color="auto"/>
        <w:left w:val="none" w:sz="0" w:space="0" w:color="auto"/>
        <w:bottom w:val="none" w:sz="0" w:space="0" w:color="auto"/>
        <w:right w:val="none" w:sz="0" w:space="0" w:color="auto"/>
      </w:divBdr>
    </w:div>
    <w:div w:id="1390617199">
      <w:bodyDiv w:val="1"/>
      <w:marLeft w:val="0"/>
      <w:marRight w:val="0"/>
      <w:marTop w:val="0"/>
      <w:marBottom w:val="0"/>
      <w:divBdr>
        <w:top w:val="none" w:sz="0" w:space="0" w:color="auto"/>
        <w:left w:val="none" w:sz="0" w:space="0" w:color="auto"/>
        <w:bottom w:val="none" w:sz="0" w:space="0" w:color="auto"/>
        <w:right w:val="none" w:sz="0" w:space="0" w:color="auto"/>
      </w:divBdr>
    </w:div>
    <w:div w:id="1410232925">
      <w:bodyDiv w:val="1"/>
      <w:marLeft w:val="0"/>
      <w:marRight w:val="0"/>
      <w:marTop w:val="0"/>
      <w:marBottom w:val="0"/>
      <w:divBdr>
        <w:top w:val="none" w:sz="0" w:space="0" w:color="auto"/>
        <w:left w:val="none" w:sz="0" w:space="0" w:color="auto"/>
        <w:bottom w:val="none" w:sz="0" w:space="0" w:color="auto"/>
        <w:right w:val="none" w:sz="0" w:space="0" w:color="auto"/>
      </w:divBdr>
    </w:div>
    <w:div w:id="1414283826">
      <w:bodyDiv w:val="1"/>
      <w:marLeft w:val="0"/>
      <w:marRight w:val="0"/>
      <w:marTop w:val="0"/>
      <w:marBottom w:val="0"/>
      <w:divBdr>
        <w:top w:val="none" w:sz="0" w:space="0" w:color="auto"/>
        <w:left w:val="none" w:sz="0" w:space="0" w:color="auto"/>
        <w:bottom w:val="none" w:sz="0" w:space="0" w:color="auto"/>
        <w:right w:val="none" w:sz="0" w:space="0" w:color="auto"/>
      </w:divBdr>
    </w:div>
    <w:div w:id="1434864449">
      <w:bodyDiv w:val="1"/>
      <w:marLeft w:val="0"/>
      <w:marRight w:val="0"/>
      <w:marTop w:val="0"/>
      <w:marBottom w:val="0"/>
      <w:divBdr>
        <w:top w:val="none" w:sz="0" w:space="0" w:color="auto"/>
        <w:left w:val="none" w:sz="0" w:space="0" w:color="auto"/>
        <w:bottom w:val="none" w:sz="0" w:space="0" w:color="auto"/>
        <w:right w:val="none" w:sz="0" w:space="0" w:color="auto"/>
      </w:divBdr>
    </w:div>
    <w:div w:id="1450122142">
      <w:bodyDiv w:val="1"/>
      <w:marLeft w:val="0"/>
      <w:marRight w:val="0"/>
      <w:marTop w:val="0"/>
      <w:marBottom w:val="0"/>
      <w:divBdr>
        <w:top w:val="none" w:sz="0" w:space="0" w:color="auto"/>
        <w:left w:val="none" w:sz="0" w:space="0" w:color="auto"/>
        <w:bottom w:val="none" w:sz="0" w:space="0" w:color="auto"/>
        <w:right w:val="none" w:sz="0" w:space="0" w:color="auto"/>
      </w:divBdr>
    </w:div>
    <w:div w:id="1462845436">
      <w:bodyDiv w:val="1"/>
      <w:marLeft w:val="0"/>
      <w:marRight w:val="0"/>
      <w:marTop w:val="0"/>
      <w:marBottom w:val="0"/>
      <w:divBdr>
        <w:top w:val="none" w:sz="0" w:space="0" w:color="auto"/>
        <w:left w:val="none" w:sz="0" w:space="0" w:color="auto"/>
        <w:bottom w:val="none" w:sz="0" w:space="0" w:color="auto"/>
        <w:right w:val="none" w:sz="0" w:space="0" w:color="auto"/>
      </w:divBdr>
    </w:div>
    <w:div w:id="1498957281">
      <w:bodyDiv w:val="1"/>
      <w:marLeft w:val="0"/>
      <w:marRight w:val="0"/>
      <w:marTop w:val="0"/>
      <w:marBottom w:val="0"/>
      <w:divBdr>
        <w:top w:val="none" w:sz="0" w:space="0" w:color="auto"/>
        <w:left w:val="none" w:sz="0" w:space="0" w:color="auto"/>
        <w:bottom w:val="none" w:sz="0" w:space="0" w:color="auto"/>
        <w:right w:val="none" w:sz="0" w:space="0" w:color="auto"/>
      </w:divBdr>
    </w:div>
    <w:div w:id="1510220542">
      <w:bodyDiv w:val="1"/>
      <w:marLeft w:val="0"/>
      <w:marRight w:val="0"/>
      <w:marTop w:val="0"/>
      <w:marBottom w:val="0"/>
      <w:divBdr>
        <w:top w:val="none" w:sz="0" w:space="0" w:color="auto"/>
        <w:left w:val="none" w:sz="0" w:space="0" w:color="auto"/>
        <w:bottom w:val="none" w:sz="0" w:space="0" w:color="auto"/>
        <w:right w:val="none" w:sz="0" w:space="0" w:color="auto"/>
      </w:divBdr>
    </w:div>
    <w:div w:id="1516840656">
      <w:bodyDiv w:val="1"/>
      <w:marLeft w:val="0"/>
      <w:marRight w:val="0"/>
      <w:marTop w:val="0"/>
      <w:marBottom w:val="0"/>
      <w:divBdr>
        <w:top w:val="none" w:sz="0" w:space="0" w:color="auto"/>
        <w:left w:val="none" w:sz="0" w:space="0" w:color="auto"/>
        <w:bottom w:val="none" w:sz="0" w:space="0" w:color="auto"/>
        <w:right w:val="none" w:sz="0" w:space="0" w:color="auto"/>
      </w:divBdr>
    </w:div>
    <w:div w:id="1546865141">
      <w:bodyDiv w:val="1"/>
      <w:marLeft w:val="0"/>
      <w:marRight w:val="0"/>
      <w:marTop w:val="0"/>
      <w:marBottom w:val="0"/>
      <w:divBdr>
        <w:top w:val="none" w:sz="0" w:space="0" w:color="auto"/>
        <w:left w:val="none" w:sz="0" w:space="0" w:color="auto"/>
        <w:bottom w:val="none" w:sz="0" w:space="0" w:color="auto"/>
        <w:right w:val="none" w:sz="0" w:space="0" w:color="auto"/>
      </w:divBdr>
    </w:div>
    <w:div w:id="1584487453">
      <w:bodyDiv w:val="1"/>
      <w:marLeft w:val="0"/>
      <w:marRight w:val="0"/>
      <w:marTop w:val="0"/>
      <w:marBottom w:val="0"/>
      <w:divBdr>
        <w:top w:val="none" w:sz="0" w:space="0" w:color="auto"/>
        <w:left w:val="none" w:sz="0" w:space="0" w:color="auto"/>
        <w:bottom w:val="none" w:sz="0" w:space="0" w:color="auto"/>
        <w:right w:val="none" w:sz="0" w:space="0" w:color="auto"/>
      </w:divBdr>
    </w:div>
    <w:div w:id="1594782193">
      <w:bodyDiv w:val="1"/>
      <w:marLeft w:val="0"/>
      <w:marRight w:val="0"/>
      <w:marTop w:val="0"/>
      <w:marBottom w:val="0"/>
      <w:divBdr>
        <w:top w:val="none" w:sz="0" w:space="0" w:color="auto"/>
        <w:left w:val="none" w:sz="0" w:space="0" w:color="auto"/>
        <w:bottom w:val="none" w:sz="0" w:space="0" w:color="auto"/>
        <w:right w:val="none" w:sz="0" w:space="0" w:color="auto"/>
      </w:divBdr>
    </w:div>
    <w:div w:id="1598980026">
      <w:bodyDiv w:val="1"/>
      <w:marLeft w:val="0"/>
      <w:marRight w:val="0"/>
      <w:marTop w:val="0"/>
      <w:marBottom w:val="0"/>
      <w:divBdr>
        <w:top w:val="none" w:sz="0" w:space="0" w:color="auto"/>
        <w:left w:val="none" w:sz="0" w:space="0" w:color="auto"/>
        <w:bottom w:val="none" w:sz="0" w:space="0" w:color="auto"/>
        <w:right w:val="none" w:sz="0" w:space="0" w:color="auto"/>
      </w:divBdr>
    </w:div>
    <w:div w:id="1679313912">
      <w:bodyDiv w:val="1"/>
      <w:marLeft w:val="0"/>
      <w:marRight w:val="0"/>
      <w:marTop w:val="0"/>
      <w:marBottom w:val="0"/>
      <w:divBdr>
        <w:top w:val="none" w:sz="0" w:space="0" w:color="auto"/>
        <w:left w:val="none" w:sz="0" w:space="0" w:color="auto"/>
        <w:bottom w:val="none" w:sz="0" w:space="0" w:color="auto"/>
        <w:right w:val="none" w:sz="0" w:space="0" w:color="auto"/>
      </w:divBdr>
    </w:div>
    <w:div w:id="1723359161">
      <w:bodyDiv w:val="1"/>
      <w:marLeft w:val="0"/>
      <w:marRight w:val="0"/>
      <w:marTop w:val="0"/>
      <w:marBottom w:val="0"/>
      <w:divBdr>
        <w:top w:val="none" w:sz="0" w:space="0" w:color="auto"/>
        <w:left w:val="none" w:sz="0" w:space="0" w:color="auto"/>
        <w:bottom w:val="none" w:sz="0" w:space="0" w:color="auto"/>
        <w:right w:val="none" w:sz="0" w:space="0" w:color="auto"/>
      </w:divBdr>
    </w:div>
    <w:div w:id="1742827758">
      <w:bodyDiv w:val="1"/>
      <w:marLeft w:val="0"/>
      <w:marRight w:val="0"/>
      <w:marTop w:val="0"/>
      <w:marBottom w:val="0"/>
      <w:divBdr>
        <w:top w:val="none" w:sz="0" w:space="0" w:color="auto"/>
        <w:left w:val="none" w:sz="0" w:space="0" w:color="auto"/>
        <w:bottom w:val="none" w:sz="0" w:space="0" w:color="auto"/>
        <w:right w:val="none" w:sz="0" w:space="0" w:color="auto"/>
      </w:divBdr>
    </w:div>
    <w:div w:id="1743789376">
      <w:bodyDiv w:val="1"/>
      <w:marLeft w:val="0"/>
      <w:marRight w:val="0"/>
      <w:marTop w:val="0"/>
      <w:marBottom w:val="0"/>
      <w:divBdr>
        <w:top w:val="none" w:sz="0" w:space="0" w:color="auto"/>
        <w:left w:val="none" w:sz="0" w:space="0" w:color="auto"/>
        <w:bottom w:val="none" w:sz="0" w:space="0" w:color="auto"/>
        <w:right w:val="none" w:sz="0" w:space="0" w:color="auto"/>
      </w:divBdr>
    </w:div>
    <w:div w:id="1786147210">
      <w:bodyDiv w:val="1"/>
      <w:marLeft w:val="0"/>
      <w:marRight w:val="0"/>
      <w:marTop w:val="0"/>
      <w:marBottom w:val="0"/>
      <w:divBdr>
        <w:top w:val="none" w:sz="0" w:space="0" w:color="auto"/>
        <w:left w:val="none" w:sz="0" w:space="0" w:color="auto"/>
        <w:bottom w:val="none" w:sz="0" w:space="0" w:color="auto"/>
        <w:right w:val="none" w:sz="0" w:space="0" w:color="auto"/>
      </w:divBdr>
    </w:div>
    <w:div w:id="1793943252">
      <w:bodyDiv w:val="1"/>
      <w:marLeft w:val="0"/>
      <w:marRight w:val="0"/>
      <w:marTop w:val="0"/>
      <w:marBottom w:val="0"/>
      <w:divBdr>
        <w:top w:val="none" w:sz="0" w:space="0" w:color="auto"/>
        <w:left w:val="none" w:sz="0" w:space="0" w:color="auto"/>
        <w:bottom w:val="none" w:sz="0" w:space="0" w:color="auto"/>
        <w:right w:val="none" w:sz="0" w:space="0" w:color="auto"/>
      </w:divBdr>
    </w:div>
    <w:div w:id="1795097022">
      <w:bodyDiv w:val="1"/>
      <w:marLeft w:val="0"/>
      <w:marRight w:val="0"/>
      <w:marTop w:val="0"/>
      <w:marBottom w:val="0"/>
      <w:divBdr>
        <w:top w:val="none" w:sz="0" w:space="0" w:color="auto"/>
        <w:left w:val="none" w:sz="0" w:space="0" w:color="auto"/>
        <w:bottom w:val="none" w:sz="0" w:space="0" w:color="auto"/>
        <w:right w:val="none" w:sz="0" w:space="0" w:color="auto"/>
      </w:divBdr>
    </w:div>
    <w:div w:id="1798641229">
      <w:bodyDiv w:val="1"/>
      <w:marLeft w:val="0"/>
      <w:marRight w:val="0"/>
      <w:marTop w:val="0"/>
      <w:marBottom w:val="0"/>
      <w:divBdr>
        <w:top w:val="none" w:sz="0" w:space="0" w:color="auto"/>
        <w:left w:val="none" w:sz="0" w:space="0" w:color="auto"/>
        <w:bottom w:val="none" w:sz="0" w:space="0" w:color="auto"/>
        <w:right w:val="none" w:sz="0" w:space="0" w:color="auto"/>
      </w:divBdr>
    </w:div>
    <w:div w:id="1822916454">
      <w:bodyDiv w:val="1"/>
      <w:marLeft w:val="0"/>
      <w:marRight w:val="0"/>
      <w:marTop w:val="0"/>
      <w:marBottom w:val="0"/>
      <w:divBdr>
        <w:top w:val="none" w:sz="0" w:space="0" w:color="auto"/>
        <w:left w:val="none" w:sz="0" w:space="0" w:color="auto"/>
        <w:bottom w:val="none" w:sz="0" w:space="0" w:color="auto"/>
        <w:right w:val="none" w:sz="0" w:space="0" w:color="auto"/>
      </w:divBdr>
    </w:div>
    <w:div w:id="1878272614">
      <w:bodyDiv w:val="1"/>
      <w:marLeft w:val="0"/>
      <w:marRight w:val="0"/>
      <w:marTop w:val="0"/>
      <w:marBottom w:val="0"/>
      <w:divBdr>
        <w:top w:val="none" w:sz="0" w:space="0" w:color="auto"/>
        <w:left w:val="none" w:sz="0" w:space="0" w:color="auto"/>
        <w:bottom w:val="none" w:sz="0" w:space="0" w:color="auto"/>
        <w:right w:val="none" w:sz="0" w:space="0" w:color="auto"/>
      </w:divBdr>
    </w:div>
    <w:div w:id="1910378767">
      <w:bodyDiv w:val="1"/>
      <w:marLeft w:val="0"/>
      <w:marRight w:val="0"/>
      <w:marTop w:val="0"/>
      <w:marBottom w:val="0"/>
      <w:divBdr>
        <w:top w:val="none" w:sz="0" w:space="0" w:color="auto"/>
        <w:left w:val="none" w:sz="0" w:space="0" w:color="auto"/>
        <w:bottom w:val="none" w:sz="0" w:space="0" w:color="auto"/>
        <w:right w:val="none" w:sz="0" w:space="0" w:color="auto"/>
      </w:divBdr>
    </w:div>
    <w:div w:id="1955482696">
      <w:bodyDiv w:val="1"/>
      <w:marLeft w:val="0"/>
      <w:marRight w:val="0"/>
      <w:marTop w:val="0"/>
      <w:marBottom w:val="0"/>
      <w:divBdr>
        <w:top w:val="none" w:sz="0" w:space="0" w:color="auto"/>
        <w:left w:val="none" w:sz="0" w:space="0" w:color="auto"/>
        <w:bottom w:val="none" w:sz="0" w:space="0" w:color="auto"/>
        <w:right w:val="none" w:sz="0" w:space="0" w:color="auto"/>
      </w:divBdr>
    </w:div>
    <w:div w:id="1985237295">
      <w:bodyDiv w:val="1"/>
      <w:marLeft w:val="0"/>
      <w:marRight w:val="0"/>
      <w:marTop w:val="0"/>
      <w:marBottom w:val="0"/>
      <w:divBdr>
        <w:top w:val="none" w:sz="0" w:space="0" w:color="auto"/>
        <w:left w:val="none" w:sz="0" w:space="0" w:color="auto"/>
        <w:bottom w:val="none" w:sz="0" w:space="0" w:color="auto"/>
        <w:right w:val="none" w:sz="0" w:space="0" w:color="auto"/>
      </w:divBdr>
    </w:div>
    <w:div w:id="2015452662">
      <w:bodyDiv w:val="1"/>
      <w:marLeft w:val="0"/>
      <w:marRight w:val="0"/>
      <w:marTop w:val="0"/>
      <w:marBottom w:val="0"/>
      <w:divBdr>
        <w:top w:val="none" w:sz="0" w:space="0" w:color="auto"/>
        <w:left w:val="none" w:sz="0" w:space="0" w:color="auto"/>
        <w:bottom w:val="none" w:sz="0" w:space="0" w:color="auto"/>
        <w:right w:val="none" w:sz="0" w:space="0" w:color="auto"/>
      </w:divBdr>
    </w:div>
    <w:div w:id="2083598722">
      <w:bodyDiv w:val="1"/>
      <w:marLeft w:val="0"/>
      <w:marRight w:val="0"/>
      <w:marTop w:val="0"/>
      <w:marBottom w:val="0"/>
      <w:divBdr>
        <w:top w:val="none" w:sz="0" w:space="0" w:color="auto"/>
        <w:left w:val="none" w:sz="0" w:space="0" w:color="auto"/>
        <w:bottom w:val="none" w:sz="0" w:space="0" w:color="auto"/>
        <w:right w:val="none" w:sz="0" w:space="0" w:color="auto"/>
      </w:divBdr>
      <w:divsChild>
        <w:div w:id="2124566643">
          <w:marLeft w:val="225"/>
          <w:marRight w:val="0"/>
          <w:marTop w:val="0"/>
          <w:marBottom w:val="0"/>
          <w:divBdr>
            <w:top w:val="none" w:sz="0" w:space="0" w:color="auto"/>
            <w:left w:val="none" w:sz="0" w:space="0" w:color="auto"/>
            <w:bottom w:val="none" w:sz="0" w:space="0" w:color="auto"/>
            <w:right w:val="none" w:sz="0" w:space="0" w:color="auto"/>
          </w:divBdr>
        </w:div>
      </w:divsChild>
    </w:div>
    <w:div w:id="2106415654">
      <w:bodyDiv w:val="1"/>
      <w:marLeft w:val="0"/>
      <w:marRight w:val="0"/>
      <w:marTop w:val="0"/>
      <w:marBottom w:val="0"/>
      <w:divBdr>
        <w:top w:val="none" w:sz="0" w:space="0" w:color="auto"/>
        <w:left w:val="none" w:sz="0" w:space="0" w:color="auto"/>
        <w:bottom w:val="none" w:sz="0" w:space="0" w:color="auto"/>
        <w:right w:val="none" w:sz="0" w:space="0" w:color="auto"/>
      </w:divBdr>
    </w:div>
    <w:div w:id="21433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thyKelly\SynologyDrive\Tanya%20Brain\Transaction%20Gurus\VC\Series%20A%20Suites\Material\2023%2011%2022%20M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D5E9-2705-4FA9-B74C-39968A28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11 22 MOI Template</Template>
  <TotalTime>316</TotalTime>
  <Pages>72</Pages>
  <Words>17492</Words>
  <Characters>89915</Characters>
  <Application>Microsoft Office Word</Application>
  <DocSecurity>0</DocSecurity>
  <Lines>1696</Lines>
  <Paragraphs>789</Paragraphs>
  <ScaleCrop>false</ScaleCrop>
  <HeadingPairs>
    <vt:vector size="2" baseType="variant">
      <vt:variant>
        <vt:lpstr>Title</vt:lpstr>
      </vt:variant>
      <vt:variant>
        <vt:i4>1</vt:i4>
      </vt:variant>
    </vt:vector>
  </HeadingPairs>
  <TitlesOfParts>
    <vt:vector size="1" baseType="lpstr">
      <vt:lpstr/>
    </vt:vector>
  </TitlesOfParts>
  <Company>Dommisse Attorneys</Company>
  <LinksUpToDate>false</LinksUpToDate>
  <CharactersWithSpaces>106618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Agreement</dc:subject>
  <dc:creator>Timothy Kelly</dc:creator>
  <cp:lastModifiedBy>Dommisse Attorneys</cp:lastModifiedBy>
  <cp:revision>18</cp:revision>
  <cp:lastPrinted>2013-11-12T16:57:00Z</cp:lastPrinted>
  <dcterms:created xsi:type="dcterms:W3CDTF">2025-11-01T13:00:00Z</dcterms:created>
  <dcterms:modified xsi:type="dcterms:W3CDTF">2025-11-17T17:27:00Z</dcterms:modified>
</cp:coreProperties>
</file>