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2BB9" w14:textId="77777777" w:rsidR="00A418E0" w:rsidRDefault="00A418E0" w:rsidP="00A418E0">
      <w:pPr>
        <w:rPr>
          <w:rFonts w:ascii="Arial" w:eastAsia="Arial" w:hAnsi="Arial" w:cs="Arial"/>
          <w:sz w:val="20"/>
          <w:szCs w:val="20"/>
        </w:rPr>
      </w:pPr>
    </w:p>
    <w:p w14:paraId="7D1E03E3" w14:textId="12F3237B" w:rsidR="00A418E0" w:rsidRPr="00A10603" w:rsidRDefault="00A418E0" w:rsidP="00A418E0">
      <w:pPr>
        <w:rPr>
          <w:rFonts w:ascii="Arial" w:eastAsia="Arial" w:hAnsi="Arial" w:cs="Arial"/>
          <w:sz w:val="20"/>
          <w:szCs w:val="20"/>
        </w:rPr>
      </w:pPr>
    </w:p>
    <w:p w14:paraId="3F2658AC" w14:textId="35A55D2D" w:rsidR="00A418E0" w:rsidRPr="00A10603" w:rsidRDefault="00A418E0" w:rsidP="00A418E0">
      <w:pPr>
        <w:rPr>
          <w:rFonts w:ascii="Arial" w:eastAsia="Arial" w:hAnsi="Arial" w:cs="Arial"/>
          <w:sz w:val="56"/>
          <w:szCs w:val="56"/>
        </w:rPr>
      </w:pPr>
    </w:p>
    <w:p w14:paraId="73D24DCD" w14:textId="0FA41356" w:rsidR="004918AB" w:rsidRPr="00A10603" w:rsidRDefault="00703706" w:rsidP="00A418E0">
      <w:pPr>
        <w:rPr>
          <w:rFonts w:ascii="Arial" w:eastAsia="Arial" w:hAnsi="Arial" w:cs="Arial"/>
          <w:sz w:val="56"/>
          <w:szCs w:val="56"/>
        </w:rPr>
      </w:pPr>
      <w:r w:rsidRPr="00A10603">
        <w:rPr>
          <w:rFonts w:ascii="Arial" w:eastAsia="Arial" w:hAnsi="Arial" w:cs="Arial"/>
          <w:noProof/>
          <w:sz w:val="56"/>
          <w:szCs w:val="56"/>
        </w:rPr>
        <mc:AlternateContent>
          <mc:Choice Requires="wps">
            <w:drawing>
              <wp:anchor distT="0" distB="0" distL="114300" distR="114300" simplePos="0" relativeHeight="251658240" behindDoc="0" locked="0" layoutInCell="1" allowOverlap="1" wp14:anchorId="44093D8F" wp14:editId="24868151">
                <wp:simplePos x="0" y="0"/>
                <wp:positionH relativeFrom="column">
                  <wp:posOffset>-2431915</wp:posOffset>
                </wp:positionH>
                <wp:positionV relativeFrom="paragraph">
                  <wp:posOffset>816489</wp:posOffset>
                </wp:positionV>
                <wp:extent cx="542638" cy="129786"/>
                <wp:effectExtent l="0" t="0" r="16510" b="10160"/>
                <wp:wrapNone/>
                <wp:docPr id="10" name="Rounded Rectangle 10"/>
                <wp:cNvGraphicFramePr/>
                <a:graphic xmlns:a="http://schemas.openxmlformats.org/drawingml/2006/main">
                  <a:graphicData uri="http://schemas.microsoft.com/office/word/2010/wordprocessingShape">
                    <wps:wsp>
                      <wps:cNvSpPr/>
                      <wps:spPr>
                        <a:xfrm>
                          <a:off x="0" y="0"/>
                          <a:ext cx="542638" cy="12978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F13C1F" w14:textId="77777777" w:rsidR="00703706" w:rsidRPr="00E56E2D" w:rsidRDefault="00703706" w:rsidP="00703706">
                            <w:pPr>
                              <w:jc w:val="center"/>
                              <w:rPr>
                                <w:rFonts w:asciiTheme="minorHAnsi" w:hAnsiTheme="minorHAnsi" w:cstheme="minorHAnsi"/>
                                <w:sz w:val="36"/>
                                <w:szCs w:val="36"/>
                              </w:rPr>
                            </w:pPr>
                            <w:r w:rsidRPr="00E56E2D">
                              <w:rPr>
                                <w:rFonts w:asciiTheme="minorHAnsi" w:hAnsiTheme="minorHAnsi" w:cstheme="minorHAnsi"/>
                                <w:sz w:val="13"/>
                                <w:szCs w:val="13"/>
                              </w:rPr>
                              <w:t>NEW FOR 3.0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93D8F" id="Rounded Rectangle 10" o:spid="_x0000_s1026" style="position:absolute;margin-left:-191.5pt;margin-top:64.3pt;width:42.7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" fillcolor="#4472c4 [3204]" strokecolor="#1f3763 [1604]" strokeweight="1pt">
                <v:stroke joinstyle="miter"/>
                <v:textbox inset="0,0,0,0">
                  <w:txbxContent>
                    <w:p w14:paraId="7EF13C1F" w14:textId="77777777" w:rsidR="00703706" w:rsidRPr="00E56E2D" w:rsidRDefault="00703706" w:rsidP="00703706">
                      <w:pPr>
                        <w:jc w:val="center"/>
                        <w:rPr>
                          <w:rFonts w:asciiTheme="minorHAnsi" w:hAnsiTheme="minorHAnsi" w:cstheme="minorHAnsi"/>
                          <w:sz w:val="36"/>
                          <w:szCs w:val="36"/>
                        </w:rPr>
                      </w:pPr>
                      <w:r w:rsidRPr="00E56E2D">
                        <w:rPr>
                          <w:rFonts w:asciiTheme="minorHAnsi" w:hAnsiTheme="minorHAnsi" w:cstheme="minorHAnsi"/>
                          <w:sz w:val="13"/>
                          <w:szCs w:val="13"/>
                        </w:rPr>
                        <w:t>NEW FOR 3.0</w:t>
                      </w:r>
                    </w:p>
                  </w:txbxContent>
                </v:textbox>
              </v:roundrect>
            </w:pict>
          </mc:Fallback>
        </mc:AlternateContent>
      </w:r>
      <w:r w:rsidR="00F35817" w:rsidRPr="00A10603">
        <w:rPr>
          <w:rFonts w:ascii="Arial" w:eastAsia="Arial" w:hAnsi="Arial" w:cs="Arial"/>
          <w:sz w:val="56"/>
          <w:szCs w:val="56"/>
        </w:rPr>
        <w:br/>
      </w:r>
    </w:p>
    <w:p w14:paraId="1A1CD088" w14:textId="5DF71034" w:rsidR="004918AB" w:rsidRDefault="00F35817" w:rsidP="00F35817">
      <w:pPr>
        <w:rPr>
          <w:rFonts w:ascii="Arial" w:eastAsia="Arial" w:hAnsi="Arial" w:cs="Arial"/>
          <w:sz w:val="96"/>
          <w:szCs w:val="96"/>
        </w:rPr>
      </w:pPr>
      <w:commentRangeStart w:id="0"/>
      <w:r w:rsidRPr="00A10603">
        <w:rPr>
          <w:rFonts w:ascii="Arial" w:eastAsia="Arial" w:hAnsi="Arial" w:cs="Arial"/>
          <w:sz w:val="96"/>
          <w:szCs w:val="96"/>
        </w:rPr>
        <w:t xml:space="preserve">Model Term Sheet </w:t>
      </w:r>
      <w:commentRangeEnd w:id="0"/>
      <w:r w:rsidR="00445928">
        <w:rPr>
          <w:rStyle w:val="CommentReference"/>
          <w:rFonts w:ascii="Arial" w:eastAsia="Arial" w:hAnsi="Arial" w:cs="Arial"/>
          <w:sz w:val="96"/>
          <w:szCs w:val="96"/>
        </w:rPr>
        <w:commentReference w:id="0"/>
      </w:r>
    </w:p>
    <w:p w14:paraId="0508653D" w14:textId="1E45D8C4" w:rsidR="00B71187" w:rsidRPr="00B71187" w:rsidRDefault="00B71187" w:rsidP="00F35817">
      <w:pPr>
        <w:rPr>
          <w:rFonts w:ascii="Arial" w:eastAsia="Arial" w:hAnsi="Arial" w:cs="Arial"/>
          <w:sz w:val="40"/>
          <w:szCs w:val="40"/>
        </w:rPr>
      </w:pPr>
      <w:r>
        <w:rPr>
          <w:rFonts w:ascii="Arial" w:eastAsia="Arial" w:hAnsi="Arial" w:cs="Arial"/>
          <w:sz w:val="40"/>
          <w:szCs w:val="40"/>
        </w:rPr>
        <w:t>in partnership with the South African Venture Capital Association</w:t>
      </w:r>
    </w:p>
    <w:p w14:paraId="552965F9" w14:textId="77777777" w:rsidR="004918AB" w:rsidRPr="00A10603" w:rsidRDefault="004918AB" w:rsidP="004918AB">
      <w:pPr>
        <w:pBdr>
          <w:bottom w:val="single" w:sz="6" w:space="1" w:color="808080" w:themeColor="background1" w:themeShade="80"/>
        </w:pBdr>
        <w:ind w:right="4248"/>
        <w:rPr>
          <w:rFonts w:ascii="Arial" w:eastAsia="Arial" w:hAnsi="Arial" w:cs="Arial"/>
          <w:sz w:val="36"/>
          <w:szCs w:val="36"/>
        </w:rPr>
      </w:pPr>
    </w:p>
    <w:p w14:paraId="73C13D26" w14:textId="43566485" w:rsidR="00A418E0" w:rsidRPr="00A10603" w:rsidRDefault="00F35817" w:rsidP="00A418E0">
      <w:pPr>
        <w:rPr>
          <w:rFonts w:ascii="Arial" w:eastAsia="Arial" w:hAnsi="Arial" w:cs="Arial"/>
          <w:b/>
          <w:sz w:val="20"/>
          <w:szCs w:val="20"/>
        </w:rPr>
      </w:pPr>
      <w:r w:rsidRPr="00A10603">
        <w:rPr>
          <w:rFonts w:ascii="Arial" w:eastAsia="Arial" w:hAnsi="Arial" w:cs="Arial"/>
          <w:b/>
          <w:sz w:val="20"/>
          <w:szCs w:val="20"/>
        </w:rPr>
        <w:br/>
      </w:r>
    </w:p>
    <w:p w14:paraId="6A97D5DC" w14:textId="5DF44C3C" w:rsidR="00BF3C12" w:rsidRPr="00A10603" w:rsidRDefault="00BF3C12">
      <w:pPr>
        <w:autoSpaceDE/>
        <w:autoSpaceDN/>
        <w:adjustRightInd/>
        <w:rPr>
          <w:rFonts w:ascii="Arial" w:hAnsi="Arial" w:cs="Arial"/>
          <w:i/>
          <w:sz w:val="21"/>
          <w:szCs w:val="21"/>
        </w:rPr>
      </w:pPr>
    </w:p>
    <w:p w14:paraId="001D888C" w14:textId="77777777" w:rsidR="00BF3C12" w:rsidRPr="00A10603" w:rsidRDefault="00BF3C12">
      <w:pPr>
        <w:autoSpaceDE/>
        <w:autoSpaceDN/>
        <w:adjustRightInd/>
        <w:rPr>
          <w:rFonts w:ascii="Arial" w:hAnsi="Arial" w:cs="Arial"/>
          <w:i/>
          <w:sz w:val="21"/>
          <w:szCs w:val="21"/>
        </w:rPr>
      </w:pPr>
    </w:p>
    <w:p w14:paraId="7F017AB1" w14:textId="76CCDF65" w:rsidR="00E56E2D" w:rsidRPr="00A10603" w:rsidRDefault="00E56E2D">
      <w:pPr>
        <w:autoSpaceDE/>
        <w:autoSpaceDN/>
        <w:adjustRightInd/>
        <w:rPr>
          <w:rFonts w:ascii="Arial" w:hAnsi="Arial" w:cs="Arial"/>
          <w:i/>
          <w:sz w:val="21"/>
          <w:szCs w:val="21"/>
        </w:rPr>
      </w:pPr>
    </w:p>
    <w:p w14:paraId="2CA312B7" w14:textId="0711B50D" w:rsidR="00E56E2D" w:rsidRPr="00A10603" w:rsidRDefault="00E56E2D">
      <w:pPr>
        <w:autoSpaceDE/>
        <w:autoSpaceDN/>
        <w:adjustRightInd/>
        <w:rPr>
          <w:rFonts w:ascii="Arial" w:hAnsi="Arial" w:cs="Arial"/>
          <w:i/>
          <w:sz w:val="21"/>
          <w:szCs w:val="21"/>
        </w:rPr>
      </w:pPr>
    </w:p>
    <w:p w14:paraId="4D5B5A89" w14:textId="44AD170E" w:rsidR="00E56E2D" w:rsidRPr="00A10603" w:rsidRDefault="00E56E2D">
      <w:pPr>
        <w:autoSpaceDE/>
        <w:autoSpaceDN/>
        <w:adjustRightInd/>
        <w:rPr>
          <w:rFonts w:ascii="Arial" w:hAnsi="Arial" w:cs="Arial"/>
          <w:i/>
          <w:sz w:val="21"/>
          <w:szCs w:val="21"/>
        </w:rPr>
      </w:pPr>
    </w:p>
    <w:p w14:paraId="3F5A5365" w14:textId="3CC35D08" w:rsidR="00BF3C12" w:rsidRPr="00A10603" w:rsidRDefault="00BF3C12">
      <w:pPr>
        <w:autoSpaceDE/>
        <w:autoSpaceDN/>
        <w:adjustRightInd/>
        <w:rPr>
          <w:rFonts w:ascii="Arial" w:hAnsi="Arial" w:cs="Arial"/>
          <w:i/>
          <w:sz w:val="21"/>
          <w:szCs w:val="21"/>
        </w:rPr>
      </w:pPr>
      <w:r w:rsidRPr="00A10603">
        <w:rPr>
          <w:rFonts w:ascii="Arial" w:hAnsi="Arial" w:cs="Arial"/>
          <w:i/>
          <w:sz w:val="21"/>
          <w:szCs w:val="21"/>
        </w:rPr>
        <w:br w:type="page"/>
      </w:r>
    </w:p>
    <w:p w14:paraId="2DD4BDBB" w14:textId="77777777" w:rsidR="00E56E2D" w:rsidRPr="00A10603" w:rsidRDefault="00E56E2D">
      <w:pPr>
        <w:autoSpaceDE/>
        <w:autoSpaceDN/>
        <w:adjustRightInd/>
        <w:rPr>
          <w:rFonts w:ascii="Arial" w:hAnsi="Arial" w:cs="Arial"/>
          <w:i/>
          <w:sz w:val="21"/>
          <w:szCs w:val="21"/>
        </w:rPr>
      </w:pPr>
    </w:p>
    <w:p w14:paraId="2EB754FF" w14:textId="77777777" w:rsidR="00B347C7" w:rsidRPr="004D4906" w:rsidRDefault="00B347C7" w:rsidP="00B347C7">
      <w:pPr>
        <w:spacing w:after="120"/>
        <w:jc w:val="center"/>
        <w:rPr>
          <w:rFonts w:ascii="Arial" w:hAnsi="Arial" w:cs="Arial"/>
          <w:b/>
          <w:i/>
          <w:sz w:val="20"/>
          <w:szCs w:val="20"/>
        </w:rPr>
      </w:pPr>
      <w:commentRangeStart w:id="1"/>
      <w:r w:rsidRPr="004D4906">
        <w:rPr>
          <w:rFonts w:ascii="Arial" w:hAnsi="Arial" w:cs="Arial"/>
          <w:b/>
          <w:i/>
          <w:sz w:val="20"/>
          <w:szCs w:val="20"/>
        </w:rPr>
        <w:t>Preliminary Note</w:t>
      </w:r>
      <w:commentRangeEnd w:id="1"/>
      <w:r w:rsidR="00445928" w:rsidRPr="004D4906">
        <w:rPr>
          <w:rStyle w:val="CommentReference"/>
          <w:rFonts w:ascii="Arial" w:hAnsi="Arial" w:cs="Arial"/>
          <w:b/>
          <w:i/>
          <w:sz w:val="20"/>
          <w:szCs w:val="20"/>
        </w:rPr>
        <w:commentReference w:id="1"/>
      </w:r>
    </w:p>
    <w:p w14:paraId="109CD83F" w14:textId="7E92628D" w:rsidR="00865822" w:rsidRPr="004D4906" w:rsidRDefault="00865822" w:rsidP="001D1564">
      <w:pPr>
        <w:spacing w:after="240" w:line="276" w:lineRule="auto"/>
        <w:jc w:val="both"/>
        <w:rPr>
          <w:rFonts w:ascii="Arial" w:hAnsi="Arial" w:cs="Arial"/>
          <w:i/>
          <w:sz w:val="20"/>
          <w:szCs w:val="20"/>
        </w:rPr>
      </w:pPr>
      <w:r w:rsidRPr="004D4906">
        <w:rPr>
          <w:rFonts w:ascii="Arial" w:hAnsi="Arial" w:cs="Arial"/>
          <w:i/>
          <w:sz w:val="20"/>
          <w:szCs w:val="20"/>
        </w:rPr>
        <w:t xml:space="preserve">This Term Sheet is effectively an index to the detailed terms contained in the Model Documents. We’ve taken the approach of grouping the essential terms of each Model Document, so that the first section deals with the terms we’d expect to see in the subscription agreement (investment amount, price per share, investment conditions, etc.) then the MOI (each class of share and their rights, etc.) and then the Shareholders Agreement (confidential contractual arrangements such as Founder obligations, tag along/drag along, etc.) </w:t>
      </w:r>
    </w:p>
    <w:p w14:paraId="4544BF13" w14:textId="4475541C" w:rsidR="00865822" w:rsidRPr="004D4906" w:rsidRDefault="00865822" w:rsidP="001D1564">
      <w:pPr>
        <w:spacing w:after="240" w:line="276" w:lineRule="auto"/>
        <w:jc w:val="both"/>
        <w:rPr>
          <w:rFonts w:ascii="Arial" w:hAnsi="Arial" w:cs="Arial"/>
          <w:i/>
          <w:sz w:val="20"/>
          <w:szCs w:val="20"/>
        </w:rPr>
      </w:pPr>
      <w:r w:rsidRPr="004D4906">
        <w:rPr>
          <w:rFonts w:ascii="Arial" w:hAnsi="Arial" w:cs="Arial"/>
          <w:i/>
          <w:sz w:val="20"/>
          <w:szCs w:val="20"/>
        </w:rPr>
        <w:t xml:space="preserve">The scope of this </w:t>
      </w:r>
      <w:r w:rsidR="007F4428" w:rsidRPr="004D4906">
        <w:rPr>
          <w:rFonts w:ascii="Arial" w:hAnsi="Arial" w:cs="Arial"/>
          <w:i/>
          <w:sz w:val="20"/>
          <w:szCs w:val="20"/>
        </w:rPr>
        <w:t xml:space="preserve">Term Sheet </w:t>
      </w:r>
      <w:r w:rsidRPr="004D4906">
        <w:rPr>
          <w:rFonts w:ascii="Arial" w:hAnsi="Arial" w:cs="Arial"/>
          <w:i/>
          <w:sz w:val="20"/>
          <w:szCs w:val="20"/>
        </w:rPr>
        <w:t xml:space="preserve">is fairly comprehensive. The intention is to ensure alignment between </w:t>
      </w:r>
      <w:r w:rsidR="00AC25D1" w:rsidRPr="004D4906">
        <w:rPr>
          <w:rFonts w:ascii="Arial" w:hAnsi="Arial" w:cs="Arial"/>
          <w:i/>
          <w:sz w:val="20"/>
          <w:szCs w:val="20"/>
        </w:rPr>
        <w:t>Investor</w:t>
      </w:r>
      <w:r w:rsidRPr="004D4906">
        <w:rPr>
          <w:rFonts w:ascii="Arial" w:hAnsi="Arial" w:cs="Arial"/>
          <w:i/>
          <w:sz w:val="20"/>
          <w:szCs w:val="20"/>
        </w:rPr>
        <w:t xml:space="preserve">s and the </w:t>
      </w:r>
      <w:r w:rsidR="00AC25D1" w:rsidRPr="004D4906">
        <w:rPr>
          <w:rFonts w:ascii="Arial" w:hAnsi="Arial" w:cs="Arial"/>
          <w:i/>
          <w:sz w:val="20"/>
          <w:szCs w:val="20"/>
        </w:rPr>
        <w:t>Company</w:t>
      </w:r>
      <w:r w:rsidRPr="004D4906">
        <w:rPr>
          <w:rFonts w:ascii="Arial" w:hAnsi="Arial" w:cs="Arial"/>
          <w:i/>
          <w:sz w:val="20"/>
          <w:szCs w:val="20"/>
        </w:rPr>
        <w:t xml:space="preserve"> on material investment terms at this early stage. We urge </w:t>
      </w:r>
      <w:r w:rsidR="00AC25D1" w:rsidRPr="004D4906">
        <w:rPr>
          <w:rFonts w:ascii="Arial" w:hAnsi="Arial" w:cs="Arial"/>
          <w:i/>
          <w:sz w:val="20"/>
          <w:szCs w:val="20"/>
        </w:rPr>
        <w:t>Investor</w:t>
      </w:r>
      <w:r w:rsidRPr="004D4906">
        <w:rPr>
          <w:rFonts w:ascii="Arial" w:hAnsi="Arial" w:cs="Arial"/>
          <w:i/>
          <w:sz w:val="20"/>
          <w:szCs w:val="20"/>
        </w:rPr>
        <w:t xml:space="preserve">s in particular to ensure that these matters are all dealt with at term sheet stage – to responsibly avoid the risk of deferring negotiations which can’t be resolved in time to close the transaction, thereby putting the </w:t>
      </w:r>
      <w:r w:rsidR="00AC25D1" w:rsidRPr="004D4906">
        <w:rPr>
          <w:rFonts w:ascii="Arial" w:hAnsi="Arial" w:cs="Arial"/>
          <w:i/>
          <w:sz w:val="20"/>
          <w:szCs w:val="20"/>
        </w:rPr>
        <w:t>Company</w:t>
      </w:r>
      <w:r w:rsidRPr="004D4906">
        <w:rPr>
          <w:rFonts w:ascii="Arial" w:hAnsi="Arial" w:cs="Arial"/>
          <w:i/>
          <w:sz w:val="20"/>
          <w:szCs w:val="20"/>
        </w:rPr>
        <w:t xml:space="preserve"> </w:t>
      </w:r>
      <w:r w:rsidR="007F4428" w:rsidRPr="004D4906">
        <w:rPr>
          <w:rFonts w:ascii="Arial" w:hAnsi="Arial" w:cs="Arial"/>
          <w:i/>
          <w:sz w:val="20"/>
          <w:szCs w:val="20"/>
        </w:rPr>
        <w:t>into liquidity</w:t>
      </w:r>
      <w:r w:rsidRPr="004D4906">
        <w:rPr>
          <w:rFonts w:ascii="Arial" w:hAnsi="Arial" w:cs="Arial"/>
          <w:i/>
          <w:sz w:val="20"/>
          <w:szCs w:val="20"/>
        </w:rPr>
        <w:t xml:space="preserve"> stress. </w:t>
      </w:r>
    </w:p>
    <w:p w14:paraId="69E6E941" w14:textId="6950A88F" w:rsidR="00865822" w:rsidRPr="004D4906" w:rsidRDefault="00865822" w:rsidP="001D1564">
      <w:pPr>
        <w:spacing w:after="240" w:line="276" w:lineRule="auto"/>
        <w:jc w:val="both"/>
        <w:rPr>
          <w:rFonts w:ascii="Arial" w:hAnsi="Arial" w:cs="Arial"/>
          <w:i/>
          <w:sz w:val="20"/>
          <w:szCs w:val="20"/>
        </w:rPr>
      </w:pPr>
      <w:r w:rsidRPr="004D4906">
        <w:rPr>
          <w:rFonts w:ascii="Arial" w:hAnsi="Arial" w:cs="Arial"/>
          <w:i/>
          <w:sz w:val="20"/>
          <w:szCs w:val="20"/>
        </w:rPr>
        <w:t xml:space="preserve">We believe that these terms will also be useful to earlier stage transactions, for example where a unique class of “series seed” class of shares is envisaged, having economic and voting rights that are consistent (if simpler) than a Series A.  Additionally, the Term Sheet may well be useful in later rounds, subject to describing the tiered seniority of (for example) Series B classes of shares relative to the preceding classes of ordinary and preference shares. </w:t>
      </w:r>
    </w:p>
    <w:p w14:paraId="67EB6841" w14:textId="77777777" w:rsidR="004D4906" w:rsidRDefault="004D4906">
      <w:pPr>
        <w:autoSpaceDE/>
        <w:autoSpaceDN/>
        <w:adjustRightInd/>
        <w:rPr>
          <w:rFonts w:ascii="Arial" w:hAnsi="Arial" w:cs="Arial"/>
          <w:b/>
          <w:bCs/>
          <w:sz w:val="20"/>
          <w:szCs w:val="20"/>
        </w:rPr>
      </w:pPr>
      <w:bookmarkStart w:id="2" w:name="_Investors:"/>
      <w:bookmarkStart w:id="3" w:name="_Pre-Money_Valuation:"/>
      <w:bookmarkStart w:id="4" w:name="_Investors"/>
      <w:bookmarkStart w:id="5" w:name="__Median_SAFE_vs"/>
      <w:bookmarkStart w:id="6" w:name="_Liquidation"/>
      <w:bookmarkStart w:id="7" w:name="_Redemption"/>
      <w:bookmarkStart w:id="8" w:name="_Toc46754166"/>
      <w:bookmarkStart w:id="9" w:name="_Toc71882464"/>
      <w:bookmarkStart w:id="10" w:name="_Toc71882635"/>
      <w:bookmarkStart w:id="11" w:name="_Toc71883325"/>
      <w:bookmarkStart w:id="12" w:name="_Toc71883525"/>
      <w:bookmarkEnd w:id="2"/>
      <w:bookmarkEnd w:id="3"/>
      <w:bookmarkEnd w:id="4"/>
      <w:bookmarkEnd w:id="5"/>
      <w:bookmarkEnd w:id="6"/>
      <w:bookmarkEnd w:id="7"/>
      <w:r>
        <w:rPr>
          <w:rFonts w:ascii="Arial" w:hAnsi="Arial" w:cs="Arial"/>
          <w:b/>
          <w:bCs/>
          <w:sz w:val="20"/>
          <w:szCs w:val="20"/>
        </w:rPr>
        <w:br w:type="page"/>
      </w:r>
    </w:p>
    <w:p w14:paraId="3BB011B3" w14:textId="61F75100" w:rsidR="00DD2457" w:rsidRPr="004D4906" w:rsidRDefault="00DD2457" w:rsidP="006A7FA4">
      <w:pPr>
        <w:jc w:val="center"/>
        <w:rPr>
          <w:rFonts w:ascii="Arial" w:hAnsi="Arial" w:cs="Arial"/>
          <w:b/>
          <w:bCs/>
          <w:sz w:val="20"/>
          <w:szCs w:val="20"/>
        </w:rPr>
      </w:pPr>
      <w:r w:rsidRPr="004D4906">
        <w:rPr>
          <w:rFonts w:ascii="Arial" w:hAnsi="Arial" w:cs="Arial"/>
          <w:b/>
          <w:bCs/>
          <w:sz w:val="20"/>
          <w:szCs w:val="20"/>
        </w:rPr>
        <w:lastRenderedPageBreak/>
        <w:t>TERM SHEET</w:t>
      </w:r>
      <w:bookmarkEnd w:id="8"/>
      <w:bookmarkEnd w:id="9"/>
      <w:bookmarkEnd w:id="10"/>
      <w:bookmarkEnd w:id="11"/>
      <w:bookmarkEnd w:id="12"/>
    </w:p>
    <w:p w14:paraId="6CA3E0D5" w14:textId="5BB43BA4" w:rsidR="00DD2457" w:rsidRPr="004D4906" w:rsidRDefault="00DD2457" w:rsidP="006A7FA4">
      <w:pPr>
        <w:jc w:val="center"/>
        <w:rPr>
          <w:rFonts w:ascii="Arial" w:hAnsi="Arial" w:cs="Arial"/>
          <w:b/>
          <w:bCs/>
          <w:sz w:val="20"/>
          <w:szCs w:val="20"/>
        </w:rPr>
      </w:pPr>
      <w:bookmarkStart w:id="13" w:name="_Toc46754167"/>
      <w:bookmarkStart w:id="14" w:name="_Toc71882465"/>
      <w:bookmarkStart w:id="15" w:name="_Toc71882636"/>
      <w:bookmarkStart w:id="16" w:name="_Toc71883326"/>
      <w:bookmarkStart w:id="17" w:name="_Toc71883526"/>
      <w:r w:rsidRPr="004D4906">
        <w:rPr>
          <w:rFonts w:ascii="Arial" w:hAnsi="Arial" w:cs="Arial"/>
          <w:b/>
          <w:bCs/>
          <w:sz w:val="20"/>
          <w:szCs w:val="20"/>
        </w:rPr>
        <w:t xml:space="preserve">FOR SERIES A </w:t>
      </w:r>
      <w:r w:rsidR="00C44739">
        <w:rPr>
          <w:rFonts w:ascii="Arial" w:hAnsi="Arial" w:cs="Arial"/>
          <w:b/>
          <w:bCs/>
          <w:sz w:val="20"/>
          <w:szCs w:val="20"/>
        </w:rPr>
        <w:t xml:space="preserve">PREFERENCE </w:t>
      </w:r>
      <w:r w:rsidR="004527B6" w:rsidRPr="004D4906">
        <w:rPr>
          <w:rFonts w:ascii="Arial" w:hAnsi="Arial" w:cs="Arial"/>
          <w:b/>
          <w:bCs/>
          <w:sz w:val="20"/>
          <w:szCs w:val="20"/>
        </w:rPr>
        <w:t>SHARE</w:t>
      </w:r>
      <w:r w:rsidRPr="004D4906">
        <w:rPr>
          <w:rFonts w:ascii="Arial" w:hAnsi="Arial" w:cs="Arial"/>
          <w:b/>
          <w:bCs/>
          <w:sz w:val="20"/>
          <w:szCs w:val="20"/>
        </w:rPr>
        <w:t xml:space="preserve"> FINANCING OF</w:t>
      </w:r>
      <w:bookmarkEnd w:id="13"/>
      <w:bookmarkEnd w:id="14"/>
      <w:bookmarkEnd w:id="15"/>
      <w:bookmarkEnd w:id="16"/>
      <w:bookmarkEnd w:id="17"/>
    </w:p>
    <w:p w14:paraId="40EA2D22" w14:textId="4D6BBE72" w:rsidR="00697C56" w:rsidRPr="004D4906" w:rsidRDefault="000575E2" w:rsidP="006A7FA4">
      <w:pPr>
        <w:jc w:val="center"/>
        <w:rPr>
          <w:rFonts w:ascii="Arial" w:hAnsi="Arial" w:cs="Arial"/>
          <w:b/>
          <w:bCs/>
          <w:sz w:val="20"/>
          <w:szCs w:val="20"/>
        </w:rPr>
      </w:pPr>
      <w:bookmarkStart w:id="18" w:name="_Toc46754168"/>
      <w:bookmarkStart w:id="19" w:name="_Toc71882466"/>
      <w:bookmarkStart w:id="20" w:name="_Toc71882637"/>
      <w:bookmarkStart w:id="21" w:name="_Toc71883327"/>
      <w:bookmarkStart w:id="22" w:name="_Toc71883527"/>
      <w:r w:rsidRPr="000575E2">
        <w:rPr>
          <w:rFonts w:ascii="Arial" w:hAnsi="Arial"/>
          <w:sz w:val="22"/>
          <w:szCs w:val="22"/>
          <w:lang w:val="en-ZA" w:eastAsia="en-US"/>
        </w:rPr>
        <w:t xml:space="preserve">[●] </w:t>
      </w:r>
      <w:r w:rsidRPr="004D4906">
        <w:rPr>
          <w:rFonts w:ascii="Arial" w:hAnsi="Arial" w:cs="Arial"/>
          <w:b/>
          <w:bCs/>
          <w:sz w:val="20"/>
          <w:szCs w:val="20"/>
        </w:rPr>
        <w:t>P</w:t>
      </w:r>
      <w:r>
        <w:rPr>
          <w:rFonts w:ascii="Arial" w:hAnsi="Arial" w:cs="Arial"/>
          <w:b/>
          <w:bCs/>
          <w:sz w:val="20"/>
          <w:szCs w:val="20"/>
        </w:rPr>
        <w:t>ROPRIETARY</w:t>
      </w:r>
      <w:r w:rsidRPr="004D4906">
        <w:rPr>
          <w:rFonts w:ascii="Arial" w:hAnsi="Arial" w:cs="Arial"/>
          <w:b/>
          <w:bCs/>
          <w:sz w:val="20"/>
          <w:szCs w:val="20"/>
        </w:rPr>
        <w:t xml:space="preserve"> </w:t>
      </w:r>
      <w:r w:rsidR="00EB3C1D" w:rsidRPr="004D4906">
        <w:rPr>
          <w:rFonts w:ascii="Arial" w:hAnsi="Arial" w:cs="Arial"/>
          <w:b/>
          <w:bCs/>
          <w:sz w:val="20"/>
          <w:szCs w:val="20"/>
        </w:rPr>
        <w:t>LIMITED</w:t>
      </w:r>
      <w:bookmarkStart w:id="23" w:name="_Toc46754169"/>
      <w:bookmarkStart w:id="24" w:name="_Toc71882467"/>
      <w:bookmarkStart w:id="25" w:name="_Toc71882638"/>
      <w:bookmarkStart w:id="26" w:name="_Toc71883328"/>
      <w:bookmarkStart w:id="27" w:name="_Toc71883528"/>
      <w:bookmarkEnd w:id="18"/>
      <w:bookmarkEnd w:id="19"/>
      <w:bookmarkEnd w:id="20"/>
      <w:bookmarkEnd w:id="21"/>
      <w:bookmarkEnd w:id="22"/>
    </w:p>
    <w:p w14:paraId="0C89FA17" w14:textId="72D2584D" w:rsidR="00DD2457" w:rsidRPr="004D4906" w:rsidRDefault="00DD2457" w:rsidP="006A7FA4">
      <w:pPr>
        <w:jc w:val="center"/>
        <w:rPr>
          <w:rFonts w:ascii="Arial" w:hAnsi="Arial" w:cs="Arial"/>
          <w:b/>
          <w:bCs/>
          <w:sz w:val="20"/>
          <w:szCs w:val="20"/>
        </w:rPr>
      </w:pPr>
      <w:r w:rsidRPr="004D4906">
        <w:rPr>
          <w:rFonts w:ascii="Arial" w:hAnsi="Arial" w:cs="Arial"/>
          <w:b/>
          <w:bCs/>
          <w:sz w:val="20"/>
          <w:szCs w:val="20"/>
        </w:rPr>
        <w:t>[__________, 20__]</w:t>
      </w:r>
      <w:bookmarkEnd w:id="23"/>
      <w:bookmarkEnd w:id="24"/>
      <w:bookmarkEnd w:id="25"/>
      <w:bookmarkEnd w:id="26"/>
      <w:bookmarkEnd w:id="27"/>
    </w:p>
    <w:p w14:paraId="7CC0E8FB" w14:textId="77777777" w:rsidR="000B7437" w:rsidRDefault="000B7437" w:rsidP="000B7437">
      <w:pPr>
        <w:pStyle w:val="BodyText"/>
        <w:ind w:firstLine="0"/>
        <w:rPr>
          <w:rFonts w:ascii="Arial" w:hAnsi="Arial" w:cs="Arial"/>
          <w:sz w:val="20"/>
          <w:szCs w:val="20"/>
          <w:lang w:val="en-CA"/>
        </w:rPr>
      </w:pPr>
    </w:p>
    <w:p w14:paraId="244BEFAB" w14:textId="4791D994" w:rsidR="00DD2457" w:rsidRPr="004D4906" w:rsidRDefault="00C72E59" w:rsidP="00FC0191">
      <w:pPr>
        <w:pStyle w:val="BodyText"/>
        <w:ind w:firstLine="0"/>
        <w:rPr>
          <w:rFonts w:ascii="Arial" w:hAnsi="Arial" w:cs="Arial"/>
          <w:sz w:val="20"/>
          <w:szCs w:val="20"/>
        </w:rPr>
      </w:pPr>
      <w:r w:rsidRPr="004D4906">
        <w:rPr>
          <w:rFonts w:ascii="Arial" w:hAnsi="Arial" w:cs="Arial"/>
          <w:sz w:val="20"/>
          <w:szCs w:val="20"/>
          <w:lang w:val="en-CA"/>
        </w:rPr>
        <w:t xml:space="preserve">This Term Sheet is intended to describe the material terms of a </w:t>
      </w:r>
      <w:r w:rsidR="00C44739">
        <w:rPr>
          <w:rFonts w:ascii="Arial" w:hAnsi="Arial" w:cs="Arial"/>
          <w:sz w:val="20"/>
          <w:szCs w:val="20"/>
          <w:lang w:val="en-CA"/>
        </w:rPr>
        <w:t>Series A Preference Share</w:t>
      </w:r>
      <w:r w:rsidR="00AC25D1" w:rsidRPr="004D4906">
        <w:rPr>
          <w:rFonts w:ascii="Arial" w:hAnsi="Arial" w:cs="Arial"/>
          <w:sz w:val="20"/>
          <w:szCs w:val="20"/>
          <w:lang w:val="en-CA"/>
        </w:rPr>
        <w:t xml:space="preserve"> </w:t>
      </w:r>
      <w:r w:rsidRPr="004D4906">
        <w:rPr>
          <w:rFonts w:ascii="Arial" w:hAnsi="Arial" w:cs="Arial"/>
          <w:sz w:val="20"/>
          <w:szCs w:val="20"/>
          <w:lang w:val="en-CA"/>
        </w:rPr>
        <w:t xml:space="preserve">investment into </w:t>
      </w:r>
      <w:r w:rsidR="000B7437" w:rsidRPr="000B7437">
        <w:rPr>
          <w:rFonts w:ascii="Arial" w:hAnsi="Arial" w:cs="Arial"/>
          <w:sz w:val="20"/>
          <w:szCs w:val="20"/>
          <w:lang w:val="en-CA"/>
        </w:rPr>
        <w:t>[●]</w:t>
      </w:r>
      <w:r w:rsidRPr="004D4906">
        <w:rPr>
          <w:rFonts w:ascii="Arial" w:hAnsi="Arial" w:cs="Arial"/>
          <w:sz w:val="20"/>
          <w:szCs w:val="20"/>
          <w:lang w:val="en-CA"/>
        </w:rPr>
        <w:t xml:space="preserve"> Proprietary Limited (the “</w:t>
      </w:r>
      <w:r w:rsidRPr="004D4906">
        <w:rPr>
          <w:rFonts w:ascii="Arial" w:hAnsi="Arial" w:cs="Arial"/>
          <w:b/>
          <w:sz w:val="20"/>
          <w:szCs w:val="20"/>
          <w:lang w:val="en-CA"/>
        </w:rPr>
        <w:t>Company</w:t>
      </w:r>
      <w:r w:rsidRPr="004D4906">
        <w:rPr>
          <w:rFonts w:ascii="Arial" w:hAnsi="Arial" w:cs="Arial"/>
          <w:sz w:val="20"/>
          <w:szCs w:val="20"/>
          <w:lang w:val="en-CA"/>
        </w:rPr>
        <w:t xml:space="preserve">") </w:t>
      </w:r>
      <w:r w:rsidR="0073397E" w:rsidRPr="004D4906">
        <w:rPr>
          <w:rFonts w:ascii="Arial" w:hAnsi="Arial" w:cs="Arial"/>
          <w:sz w:val="20"/>
          <w:szCs w:val="20"/>
          <w:lang w:val="en-CA"/>
        </w:rPr>
        <w:t>by the Investor/s described below</w:t>
      </w:r>
      <w:r w:rsidRPr="004D4906">
        <w:rPr>
          <w:rFonts w:ascii="Arial" w:hAnsi="Arial" w:cs="Arial"/>
          <w:sz w:val="20"/>
          <w:szCs w:val="20"/>
          <w:lang w:val="en-CA"/>
        </w:rPr>
        <w:t xml:space="preserve">. </w:t>
      </w:r>
      <w:bookmarkStart w:id="28" w:name="_Hlk89240055"/>
      <w:bookmarkStart w:id="29" w:name="_Hlk89231387"/>
      <w:r w:rsidRPr="004D4906">
        <w:rPr>
          <w:rFonts w:ascii="Arial" w:hAnsi="Arial" w:cs="Arial"/>
          <w:sz w:val="20"/>
          <w:szCs w:val="20"/>
          <w:lang w:val="en-CA"/>
        </w:rPr>
        <w:t xml:space="preserve"> This Term Sheet is not an undertaking to invest, </w:t>
      </w:r>
      <w:r w:rsidR="0073397E" w:rsidRPr="004D4906">
        <w:rPr>
          <w:rFonts w:ascii="Arial" w:hAnsi="Arial" w:cs="Arial"/>
          <w:sz w:val="20"/>
          <w:szCs w:val="20"/>
          <w:lang w:val="en-CA"/>
        </w:rPr>
        <w:t>so</w:t>
      </w:r>
      <w:r w:rsidRPr="004D4906">
        <w:rPr>
          <w:rFonts w:ascii="Arial" w:hAnsi="Arial" w:cs="Arial"/>
          <w:sz w:val="20"/>
          <w:szCs w:val="20"/>
          <w:lang w:val="en-CA"/>
        </w:rPr>
        <w:t xml:space="preserve"> any potential investment will be subject to satisfactory outcome of a number of processes (including those described </w:t>
      </w:r>
      <w:r w:rsidR="0073397E" w:rsidRPr="004D4906">
        <w:rPr>
          <w:rFonts w:ascii="Arial" w:hAnsi="Arial" w:cs="Arial"/>
          <w:sz w:val="20"/>
          <w:szCs w:val="20"/>
          <w:lang w:val="en-CA"/>
        </w:rPr>
        <w:t xml:space="preserve">as </w:t>
      </w:r>
      <w:r w:rsidRPr="004D4906">
        <w:rPr>
          <w:rFonts w:ascii="Arial" w:hAnsi="Arial" w:cs="Arial"/>
          <w:sz w:val="20"/>
          <w:szCs w:val="20"/>
          <w:lang w:val="en-CA"/>
        </w:rPr>
        <w:t>“Conditions to Closing”</w:t>
      </w:r>
      <w:r w:rsidR="0073397E" w:rsidRPr="004D4906">
        <w:rPr>
          <w:rFonts w:ascii="Arial" w:hAnsi="Arial" w:cs="Arial"/>
          <w:sz w:val="20"/>
          <w:szCs w:val="20"/>
          <w:lang w:val="en-CA"/>
        </w:rPr>
        <w:t xml:space="preserve"> below</w:t>
      </w:r>
      <w:r w:rsidRPr="004D4906">
        <w:rPr>
          <w:rFonts w:ascii="Arial" w:hAnsi="Arial" w:cs="Arial"/>
          <w:sz w:val="20"/>
          <w:szCs w:val="20"/>
          <w:lang w:val="en-CA"/>
        </w:rPr>
        <w:t xml:space="preserve">). This Term Sheet is not legally binding, other than the provisions entitled </w:t>
      </w:r>
      <w:r w:rsidR="0073397E" w:rsidRPr="004D4906">
        <w:rPr>
          <w:rFonts w:ascii="Arial" w:hAnsi="Arial" w:cs="Arial"/>
          <w:sz w:val="20"/>
          <w:szCs w:val="20"/>
        </w:rPr>
        <w:t>“</w:t>
      </w:r>
      <w:r w:rsidR="0073397E" w:rsidRPr="004D4906">
        <w:rPr>
          <w:rFonts w:ascii="Arial" w:hAnsi="Arial" w:cs="Arial"/>
          <w:i/>
          <w:iCs/>
          <w:sz w:val="20"/>
          <w:szCs w:val="20"/>
        </w:rPr>
        <w:t xml:space="preserve">Counsel and </w:t>
      </w:r>
      <w:r w:rsidR="0073397E" w:rsidRPr="004D4906">
        <w:rPr>
          <w:rFonts w:ascii="Arial" w:hAnsi="Arial" w:cs="Arial"/>
          <w:i/>
          <w:sz w:val="20"/>
          <w:szCs w:val="20"/>
        </w:rPr>
        <w:t>Expenses</w:t>
      </w:r>
      <w:r w:rsidR="0073397E" w:rsidRPr="004D4906">
        <w:rPr>
          <w:rFonts w:ascii="Arial" w:hAnsi="Arial" w:cs="Arial"/>
          <w:sz w:val="20"/>
          <w:szCs w:val="20"/>
        </w:rPr>
        <w:t xml:space="preserve">”, </w:t>
      </w:r>
      <w:r w:rsidRPr="004D4906">
        <w:rPr>
          <w:rFonts w:ascii="Arial" w:hAnsi="Arial" w:cs="Arial"/>
          <w:sz w:val="20"/>
          <w:szCs w:val="20"/>
        </w:rPr>
        <w:t>“</w:t>
      </w:r>
      <w:r w:rsidRPr="004D4906">
        <w:rPr>
          <w:rFonts w:ascii="Arial" w:hAnsi="Arial" w:cs="Arial"/>
          <w:i/>
          <w:sz w:val="20"/>
          <w:szCs w:val="20"/>
        </w:rPr>
        <w:t>Exclusivity and Confidentiality</w:t>
      </w:r>
      <w:r w:rsidRPr="004D4906">
        <w:rPr>
          <w:rFonts w:ascii="Arial" w:hAnsi="Arial" w:cs="Arial"/>
          <w:sz w:val="20"/>
          <w:szCs w:val="20"/>
        </w:rPr>
        <w:t>”, “</w:t>
      </w:r>
      <w:r w:rsidRPr="004D4906">
        <w:rPr>
          <w:rFonts w:ascii="Arial" w:hAnsi="Arial" w:cs="Arial"/>
          <w:i/>
          <w:iCs/>
          <w:sz w:val="20"/>
          <w:szCs w:val="20"/>
        </w:rPr>
        <w:t>Expiration</w:t>
      </w:r>
      <w:r w:rsidRPr="004D4906">
        <w:rPr>
          <w:rFonts w:ascii="Arial" w:hAnsi="Arial" w:cs="Arial"/>
          <w:sz w:val="20"/>
          <w:szCs w:val="20"/>
        </w:rPr>
        <w:t>”, “</w:t>
      </w:r>
      <w:r w:rsidRPr="004D4906">
        <w:rPr>
          <w:rFonts w:ascii="Arial" w:hAnsi="Arial" w:cs="Arial"/>
          <w:i/>
          <w:sz w:val="20"/>
          <w:szCs w:val="20"/>
        </w:rPr>
        <w:t>Governing Law</w:t>
      </w:r>
      <w:r w:rsidRPr="004D4906">
        <w:rPr>
          <w:rFonts w:ascii="Arial" w:hAnsi="Arial" w:cs="Arial"/>
          <w:sz w:val="20"/>
          <w:szCs w:val="20"/>
        </w:rPr>
        <w:t>”</w:t>
      </w:r>
      <w:r w:rsidR="0073397E" w:rsidRPr="004D4906">
        <w:rPr>
          <w:rFonts w:ascii="Arial" w:hAnsi="Arial" w:cs="Arial"/>
          <w:sz w:val="20"/>
          <w:szCs w:val="20"/>
        </w:rPr>
        <w:t xml:space="preserve"> and </w:t>
      </w:r>
      <w:r w:rsidRPr="004D4906">
        <w:rPr>
          <w:rFonts w:ascii="Arial" w:hAnsi="Arial" w:cs="Arial"/>
          <w:sz w:val="20"/>
          <w:szCs w:val="20"/>
        </w:rPr>
        <w:t>“</w:t>
      </w:r>
      <w:r w:rsidRPr="004D4906">
        <w:rPr>
          <w:rFonts w:ascii="Arial" w:hAnsi="Arial" w:cs="Arial"/>
          <w:i/>
          <w:sz w:val="20"/>
          <w:szCs w:val="20"/>
        </w:rPr>
        <w:t>Arbitration</w:t>
      </w:r>
      <w:r w:rsidRPr="004D4906">
        <w:rPr>
          <w:rFonts w:ascii="Arial" w:hAnsi="Arial" w:cs="Arial"/>
          <w:sz w:val="20"/>
          <w:szCs w:val="20"/>
        </w:rPr>
        <w:t>”</w:t>
      </w:r>
      <w:r w:rsidRPr="004D4906">
        <w:rPr>
          <w:rFonts w:ascii="Arial" w:hAnsi="Arial" w:cs="Arial"/>
          <w:sz w:val="20"/>
          <w:szCs w:val="20"/>
          <w:lang w:val="en-CA"/>
        </w:rPr>
        <w:t>.</w:t>
      </w:r>
      <w:bookmarkEnd w:id="28"/>
      <w:r w:rsidRPr="004D4906">
        <w:rPr>
          <w:rFonts w:ascii="Arial" w:hAnsi="Arial" w:cs="Arial"/>
          <w:sz w:val="20"/>
          <w:szCs w:val="20"/>
          <w:lang w:val="en-CA"/>
        </w:rPr>
        <w:t xml:space="preserve"> No legally binding obligation to invest (or to accept investment) will be created until the parties have agreed, concluded and signed the comprehensive legal documents envisaged by the Term Sheet. </w:t>
      </w:r>
      <w:bookmarkEnd w:id="29"/>
    </w:p>
    <w:p w14:paraId="1883B209" w14:textId="55D73EC1" w:rsidR="00445928" w:rsidRPr="004D4906" w:rsidRDefault="00445928" w:rsidP="000D4D65">
      <w:pPr>
        <w:pStyle w:val="BodyText"/>
        <w:rPr>
          <w:rFonts w:ascii="Arial" w:hAnsi="Arial" w:cs="Arial"/>
          <w:sz w:val="20"/>
          <w:szCs w:val="20"/>
        </w:rPr>
      </w:pPr>
      <w:r w:rsidRPr="004D4906">
        <w:rPr>
          <w:rFonts w:ascii="Arial" w:hAnsi="Arial" w:cs="Arial"/>
          <w:sz w:val="20"/>
          <w:szCs w:val="20"/>
        </w:rPr>
        <w:t xml:space="preserve"> </w:t>
      </w:r>
    </w:p>
    <w:tbl>
      <w:tblPr>
        <w:tblW w:w="5000" w:type="pct"/>
        <w:tblLook w:val="0000" w:firstRow="0" w:lastRow="0" w:firstColumn="0" w:lastColumn="0" w:noHBand="0" w:noVBand="0"/>
      </w:tblPr>
      <w:tblGrid>
        <w:gridCol w:w="3763"/>
        <w:gridCol w:w="5597"/>
      </w:tblGrid>
      <w:tr w:rsidR="00DD2457" w:rsidRPr="004D4906" w14:paraId="3E5854A9" w14:textId="77777777" w:rsidTr="001D1564">
        <w:tc>
          <w:tcPr>
            <w:tcW w:w="2010" w:type="pct"/>
            <w:tcBorders>
              <w:top w:val="nil"/>
              <w:left w:val="nil"/>
              <w:bottom w:val="nil"/>
              <w:right w:val="nil"/>
            </w:tcBorders>
          </w:tcPr>
          <w:p w14:paraId="10362627" w14:textId="77777777" w:rsidR="00DD2457" w:rsidRPr="004D4906" w:rsidRDefault="00DD2457" w:rsidP="004D4906">
            <w:pPr>
              <w:widowControl w:val="0"/>
              <w:rPr>
                <w:rFonts w:ascii="Arial" w:hAnsi="Arial" w:cs="Arial"/>
                <w:b/>
                <w:sz w:val="20"/>
                <w:szCs w:val="20"/>
                <w:u w:val="single"/>
              </w:rPr>
            </w:pPr>
            <w:r w:rsidRPr="004D4906">
              <w:rPr>
                <w:rFonts w:ascii="Arial" w:hAnsi="Arial" w:cs="Arial"/>
                <w:b/>
                <w:sz w:val="20"/>
                <w:szCs w:val="20"/>
                <w:u w:val="single"/>
              </w:rPr>
              <w:t>Offering Terms</w:t>
            </w:r>
          </w:p>
        </w:tc>
        <w:tc>
          <w:tcPr>
            <w:tcW w:w="2990" w:type="pct"/>
            <w:tcBorders>
              <w:top w:val="nil"/>
              <w:left w:val="nil"/>
              <w:bottom w:val="nil"/>
              <w:right w:val="nil"/>
            </w:tcBorders>
            <w:shd w:val="clear" w:color="auto" w:fill="FFFFFF"/>
          </w:tcPr>
          <w:p w14:paraId="08624E09" w14:textId="77777777" w:rsidR="00DD2457" w:rsidRPr="004D4906" w:rsidRDefault="00DD2457" w:rsidP="004D4906">
            <w:pPr>
              <w:pStyle w:val="TableText"/>
              <w:widowControl w:val="0"/>
              <w:rPr>
                <w:rFonts w:ascii="Arial" w:hAnsi="Arial" w:cs="Arial"/>
                <w:sz w:val="20"/>
                <w:szCs w:val="20"/>
              </w:rPr>
            </w:pPr>
          </w:p>
        </w:tc>
      </w:tr>
      <w:tr w:rsidR="00DD2457" w:rsidRPr="004D4906" w14:paraId="066E7B37" w14:textId="77777777" w:rsidTr="001D1564">
        <w:tc>
          <w:tcPr>
            <w:tcW w:w="2010" w:type="pct"/>
            <w:tcBorders>
              <w:top w:val="nil"/>
              <w:left w:val="nil"/>
              <w:bottom w:val="nil"/>
              <w:right w:val="nil"/>
            </w:tcBorders>
          </w:tcPr>
          <w:p w14:paraId="5DB4A35F" w14:textId="4154D257" w:rsidR="00DD2457" w:rsidRPr="004D4906" w:rsidRDefault="00D15BE7" w:rsidP="004D4906">
            <w:pPr>
              <w:pStyle w:val="TableItalics"/>
              <w:widowControl w:val="0"/>
              <w:rPr>
                <w:rFonts w:ascii="Arial" w:hAnsi="Arial" w:cs="Arial"/>
                <w:sz w:val="20"/>
                <w:szCs w:val="20"/>
              </w:rPr>
            </w:pPr>
            <w:r>
              <w:rPr>
                <w:rFonts w:ascii="Arial" w:hAnsi="Arial" w:cs="Arial"/>
                <w:sz w:val="20"/>
                <w:szCs w:val="20"/>
              </w:rPr>
              <w:t>Type of shares to be issued</w:t>
            </w:r>
            <w:r w:rsidR="00DD2457" w:rsidRPr="004D4906">
              <w:rPr>
                <w:rFonts w:ascii="Arial" w:hAnsi="Arial" w:cs="Arial"/>
                <w:sz w:val="20"/>
                <w:szCs w:val="20"/>
              </w:rPr>
              <w:t>:</w:t>
            </w:r>
          </w:p>
        </w:tc>
        <w:tc>
          <w:tcPr>
            <w:tcW w:w="2990" w:type="pct"/>
            <w:tcBorders>
              <w:top w:val="nil"/>
              <w:left w:val="nil"/>
              <w:bottom w:val="nil"/>
              <w:right w:val="nil"/>
            </w:tcBorders>
            <w:shd w:val="clear" w:color="auto" w:fill="FFFFFF"/>
          </w:tcPr>
          <w:p w14:paraId="75EC5464" w14:textId="6E1629B2" w:rsidR="006C0960" w:rsidRPr="004D4906" w:rsidRDefault="00DD2457" w:rsidP="006C0960">
            <w:pPr>
              <w:pStyle w:val="TableText"/>
              <w:widowControl w:val="0"/>
              <w:rPr>
                <w:rFonts w:ascii="Arial" w:hAnsi="Arial" w:cs="Arial"/>
                <w:sz w:val="20"/>
                <w:szCs w:val="20"/>
              </w:rPr>
            </w:pPr>
            <w:r w:rsidRPr="004D4906">
              <w:rPr>
                <w:rFonts w:ascii="Arial" w:hAnsi="Arial" w:cs="Arial"/>
                <w:sz w:val="20"/>
                <w:szCs w:val="20"/>
              </w:rPr>
              <w:t xml:space="preserve">Series A </w:t>
            </w:r>
            <w:r w:rsidR="00C44739">
              <w:rPr>
                <w:rFonts w:ascii="Arial" w:hAnsi="Arial" w:cs="Arial"/>
                <w:sz w:val="20"/>
                <w:szCs w:val="20"/>
              </w:rPr>
              <w:t>Preference</w:t>
            </w:r>
            <w:r w:rsidR="00C44739" w:rsidRPr="004D4906">
              <w:rPr>
                <w:rFonts w:ascii="Arial" w:hAnsi="Arial" w:cs="Arial"/>
                <w:sz w:val="20"/>
                <w:szCs w:val="20"/>
              </w:rPr>
              <w:t xml:space="preserve"> </w:t>
            </w:r>
            <w:r w:rsidR="004527B6" w:rsidRPr="004D4906">
              <w:rPr>
                <w:rFonts w:ascii="Arial" w:hAnsi="Arial" w:cs="Arial"/>
                <w:sz w:val="20"/>
                <w:szCs w:val="20"/>
              </w:rPr>
              <w:t>Shares</w:t>
            </w:r>
            <w:r w:rsidRPr="004D4906">
              <w:rPr>
                <w:rFonts w:ascii="Arial" w:hAnsi="Arial" w:cs="Arial"/>
                <w:sz w:val="20"/>
                <w:szCs w:val="20"/>
              </w:rPr>
              <w:t xml:space="preserve"> (the “</w:t>
            </w:r>
            <w:r w:rsidRPr="004D4906">
              <w:rPr>
                <w:rFonts w:ascii="Arial" w:hAnsi="Arial" w:cs="Arial"/>
                <w:b/>
                <w:bCs/>
                <w:sz w:val="20"/>
                <w:szCs w:val="20"/>
              </w:rPr>
              <w:t xml:space="preserve">Series A </w:t>
            </w:r>
            <w:r w:rsidR="001A7801" w:rsidRPr="004D4906">
              <w:rPr>
                <w:rFonts w:ascii="Arial" w:hAnsi="Arial" w:cs="Arial"/>
                <w:b/>
                <w:bCs/>
                <w:sz w:val="20"/>
                <w:szCs w:val="20"/>
              </w:rPr>
              <w:t>Shares</w:t>
            </w:r>
            <w:r w:rsidRPr="004D4906">
              <w:rPr>
                <w:rFonts w:ascii="Arial" w:hAnsi="Arial" w:cs="Arial"/>
                <w:sz w:val="20"/>
                <w:szCs w:val="20"/>
              </w:rPr>
              <w:t>”).</w:t>
            </w:r>
            <w:r w:rsidR="006C0960">
              <w:rPr>
                <w:rFonts w:ascii="Arial" w:hAnsi="Arial" w:cs="Arial"/>
                <w:sz w:val="20"/>
                <w:szCs w:val="20"/>
              </w:rPr>
              <w:t xml:space="preserve"> </w:t>
            </w:r>
          </w:p>
        </w:tc>
      </w:tr>
      <w:tr w:rsidR="00DD2457" w:rsidRPr="004D4906" w14:paraId="30ADBFDC" w14:textId="77777777" w:rsidTr="001D1564">
        <w:tc>
          <w:tcPr>
            <w:tcW w:w="2010" w:type="pct"/>
            <w:tcBorders>
              <w:top w:val="nil"/>
              <w:left w:val="nil"/>
              <w:bottom w:val="nil"/>
              <w:right w:val="nil"/>
            </w:tcBorders>
          </w:tcPr>
          <w:p w14:paraId="57799C42" w14:textId="77777777" w:rsidR="00DD2457" w:rsidRPr="004D4906" w:rsidRDefault="00DD2457" w:rsidP="004D4906">
            <w:pPr>
              <w:pStyle w:val="TableItalics"/>
              <w:widowControl w:val="0"/>
              <w:rPr>
                <w:rFonts w:ascii="Arial" w:hAnsi="Arial" w:cs="Arial"/>
                <w:sz w:val="20"/>
                <w:szCs w:val="20"/>
              </w:rPr>
            </w:pPr>
            <w:r w:rsidRPr="004D4906">
              <w:rPr>
                <w:rFonts w:ascii="Arial" w:hAnsi="Arial" w:cs="Arial"/>
                <w:sz w:val="20"/>
                <w:szCs w:val="20"/>
              </w:rPr>
              <w:br w:type="page"/>
              <w:t>Closing Date:</w:t>
            </w:r>
          </w:p>
        </w:tc>
        <w:tc>
          <w:tcPr>
            <w:tcW w:w="2990" w:type="pct"/>
            <w:tcBorders>
              <w:top w:val="nil"/>
              <w:left w:val="nil"/>
              <w:bottom w:val="nil"/>
              <w:right w:val="nil"/>
            </w:tcBorders>
            <w:shd w:val="clear" w:color="auto" w:fill="FFFFFF"/>
          </w:tcPr>
          <w:p w14:paraId="6F6C816A" w14:textId="634A868D" w:rsidR="00DD2457" w:rsidRPr="004D4906" w:rsidRDefault="00BE05FA" w:rsidP="004D4906">
            <w:pPr>
              <w:pStyle w:val="TableText"/>
              <w:widowControl w:val="0"/>
              <w:rPr>
                <w:rFonts w:ascii="Arial" w:hAnsi="Arial" w:cs="Arial"/>
                <w:sz w:val="20"/>
                <w:szCs w:val="20"/>
              </w:rPr>
            </w:pPr>
            <w:r w:rsidRPr="004D4906">
              <w:rPr>
                <w:rFonts w:ascii="Arial" w:hAnsi="Arial" w:cs="Arial"/>
                <w:sz w:val="20"/>
                <w:szCs w:val="20"/>
              </w:rPr>
              <w:t>The closing of the transaction (“</w:t>
            </w:r>
            <w:r w:rsidRPr="004D4906">
              <w:rPr>
                <w:rFonts w:ascii="Arial" w:hAnsi="Arial" w:cs="Arial"/>
                <w:b/>
                <w:bCs/>
                <w:sz w:val="20"/>
                <w:szCs w:val="20"/>
              </w:rPr>
              <w:t>Closing</w:t>
            </w:r>
            <w:r w:rsidRPr="004D4906">
              <w:rPr>
                <w:rFonts w:ascii="Arial" w:hAnsi="Arial" w:cs="Arial"/>
                <w:sz w:val="20"/>
                <w:szCs w:val="20"/>
              </w:rPr>
              <w:t xml:space="preserve">”) shall take place as soon as practicable following the Company’s acceptance of this Term Sheet, fulfilment (or waiver, where applicable) of the </w:t>
            </w:r>
            <w:r w:rsidR="007E7964" w:rsidRPr="004D4906">
              <w:rPr>
                <w:rFonts w:ascii="Arial" w:hAnsi="Arial" w:cs="Arial"/>
                <w:sz w:val="20"/>
                <w:szCs w:val="20"/>
              </w:rPr>
              <w:t>C</w:t>
            </w:r>
            <w:r w:rsidRPr="004D4906">
              <w:rPr>
                <w:rFonts w:ascii="Arial" w:hAnsi="Arial" w:cs="Arial"/>
                <w:sz w:val="20"/>
                <w:szCs w:val="20"/>
              </w:rPr>
              <w:t xml:space="preserve">onditions </w:t>
            </w:r>
            <w:r w:rsidR="00B25675" w:rsidRPr="004D4906">
              <w:rPr>
                <w:rFonts w:ascii="Arial" w:hAnsi="Arial" w:cs="Arial"/>
                <w:sz w:val="20"/>
                <w:szCs w:val="20"/>
              </w:rPr>
              <w:t>to Closing</w:t>
            </w:r>
            <w:r w:rsidRPr="004D4906">
              <w:rPr>
                <w:rFonts w:ascii="Arial" w:hAnsi="Arial" w:cs="Arial"/>
                <w:sz w:val="20"/>
                <w:szCs w:val="20"/>
              </w:rPr>
              <w:t>, and execution of the long-form documents as</w:t>
            </w:r>
            <w:r w:rsidR="007E7964" w:rsidRPr="004D4906">
              <w:rPr>
                <w:rFonts w:ascii="Arial" w:hAnsi="Arial" w:cs="Arial"/>
                <w:sz w:val="20"/>
                <w:szCs w:val="20"/>
              </w:rPr>
              <w:t xml:space="preserve"> will be </w:t>
            </w:r>
            <w:r w:rsidRPr="004D4906">
              <w:rPr>
                <w:rFonts w:ascii="Arial" w:hAnsi="Arial" w:cs="Arial"/>
                <w:sz w:val="20"/>
                <w:szCs w:val="20"/>
              </w:rPr>
              <w:t xml:space="preserve">contemplated in the </w:t>
            </w:r>
            <w:r w:rsidR="007C7FB4" w:rsidRPr="004D4906">
              <w:rPr>
                <w:rFonts w:ascii="Arial" w:hAnsi="Arial" w:cs="Arial"/>
                <w:sz w:val="20"/>
                <w:szCs w:val="20"/>
              </w:rPr>
              <w:t>S</w:t>
            </w:r>
            <w:r w:rsidRPr="004D4906">
              <w:rPr>
                <w:rFonts w:ascii="Arial" w:hAnsi="Arial" w:cs="Arial"/>
                <w:sz w:val="20"/>
                <w:szCs w:val="20"/>
              </w:rPr>
              <w:t xml:space="preserve">ubscription </w:t>
            </w:r>
            <w:r w:rsidR="007C7FB4" w:rsidRPr="004D4906">
              <w:rPr>
                <w:rFonts w:ascii="Arial" w:hAnsi="Arial" w:cs="Arial"/>
                <w:sz w:val="20"/>
                <w:szCs w:val="20"/>
              </w:rPr>
              <w:t>A</w:t>
            </w:r>
            <w:r w:rsidRPr="004D4906">
              <w:rPr>
                <w:rFonts w:ascii="Arial" w:hAnsi="Arial" w:cs="Arial"/>
                <w:sz w:val="20"/>
                <w:szCs w:val="20"/>
              </w:rPr>
              <w:t>greement.</w:t>
            </w:r>
            <w:r w:rsidR="00A366C0" w:rsidRPr="004D4906">
              <w:rPr>
                <w:rFonts w:ascii="Arial" w:hAnsi="Arial" w:cs="Arial"/>
                <w:sz w:val="20"/>
                <w:szCs w:val="20"/>
              </w:rPr>
              <w:t xml:space="preserve">  This Closing is targeted for </w:t>
            </w:r>
            <w:r w:rsidR="000575E2" w:rsidRPr="000575E2">
              <w:rPr>
                <w:rFonts w:ascii="Arial" w:hAnsi="Arial" w:cs="Arial"/>
                <w:b/>
                <w:bCs/>
                <w:sz w:val="20"/>
                <w:szCs w:val="20"/>
              </w:rPr>
              <w:t>[●]</w:t>
            </w:r>
            <w:r w:rsidR="00A366C0" w:rsidRPr="004D4906">
              <w:rPr>
                <w:rFonts w:ascii="Arial" w:hAnsi="Arial" w:cs="Arial"/>
                <w:b/>
                <w:bCs/>
                <w:sz w:val="20"/>
                <w:szCs w:val="20"/>
              </w:rPr>
              <w:t xml:space="preserve">. </w:t>
            </w:r>
          </w:p>
        </w:tc>
      </w:tr>
      <w:tr w:rsidR="00DD2457" w:rsidRPr="004D4906" w14:paraId="51215E7A" w14:textId="77777777" w:rsidTr="001D1564">
        <w:tc>
          <w:tcPr>
            <w:tcW w:w="2010" w:type="pct"/>
            <w:tcBorders>
              <w:top w:val="nil"/>
              <w:left w:val="nil"/>
              <w:bottom w:val="nil"/>
              <w:right w:val="nil"/>
            </w:tcBorders>
          </w:tcPr>
          <w:p w14:paraId="389E0B3A" w14:textId="3B78B349" w:rsidR="00DD2457" w:rsidRPr="004D4906" w:rsidRDefault="008D4FA4" w:rsidP="004D4906">
            <w:pPr>
              <w:widowControl w:val="0"/>
              <w:rPr>
                <w:rFonts w:ascii="Arial" w:hAnsi="Arial" w:cs="Arial"/>
                <w:i/>
                <w:iCs/>
                <w:sz w:val="20"/>
                <w:szCs w:val="20"/>
              </w:rPr>
            </w:pPr>
            <w:bookmarkStart w:id="30" w:name="Investors"/>
            <w:bookmarkEnd w:id="30"/>
            <w:r w:rsidRPr="004D4906">
              <w:rPr>
                <w:rFonts w:ascii="Arial" w:hAnsi="Arial" w:cs="Arial"/>
                <w:i/>
                <w:iCs/>
                <w:sz w:val="20"/>
                <w:szCs w:val="20"/>
              </w:rPr>
              <w:t>Investors</w:t>
            </w:r>
          </w:p>
        </w:tc>
        <w:tc>
          <w:tcPr>
            <w:tcW w:w="2990" w:type="pct"/>
            <w:tcBorders>
              <w:top w:val="nil"/>
              <w:left w:val="nil"/>
              <w:bottom w:val="nil"/>
              <w:right w:val="nil"/>
            </w:tcBorders>
            <w:shd w:val="clear" w:color="auto" w:fill="FFFFFF"/>
          </w:tcPr>
          <w:p w14:paraId="088E2B57" w14:textId="4FC4479D" w:rsidR="00DD2457" w:rsidRPr="004D4906" w:rsidRDefault="007E7964" w:rsidP="004D4906">
            <w:pPr>
              <w:pStyle w:val="TableText"/>
              <w:widowControl w:val="0"/>
              <w:rPr>
                <w:rFonts w:ascii="Arial" w:hAnsi="Arial" w:cs="Arial"/>
                <w:sz w:val="20"/>
                <w:szCs w:val="20"/>
              </w:rPr>
            </w:pPr>
            <w:r w:rsidRPr="004D4906">
              <w:rPr>
                <w:rFonts w:ascii="Arial" w:hAnsi="Arial" w:cs="Arial"/>
                <w:sz w:val="20"/>
                <w:szCs w:val="20"/>
              </w:rPr>
              <w:t xml:space="preserve">Identified in </w:t>
            </w:r>
            <w:r w:rsidR="005C2A21" w:rsidRPr="004D4906">
              <w:rPr>
                <w:rFonts w:ascii="Arial" w:hAnsi="Arial" w:cs="Arial"/>
                <w:b/>
                <w:bCs/>
                <w:sz w:val="20"/>
                <w:szCs w:val="20"/>
              </w:rPr>
              <w:t>Schedule A</w:t>
            </w:r>
            <w:r w:rsidR="007C7FB4" w:rsidRPr="004D4906">
              <w:rPr>
                <w:rFonts w:ascii="Arial" w:hAnsi="Arial" w:cs="Arial"/>
                <w:bCs/>
                <w:sz w:val="20"/>
                <w:szCs w:val="20"/>
              </w:rPr>
              <w:t>.</w:t>
            </w:r>
          </w:p>
        </w:tc>
      </w:tr>
      <w:tr w:rsidR="00726502" w:rsidRPr="004D4906" w14:paraId="3917D3CA" w14:textId="77777777" w:rsidTr="0002776F">
        <w:tc>
          <w:tcPr>
            <w:tcW w:w="2010" w:type="pct"/>
            <w:tcBorders>
              <w:top w:val="nil"/>
              <w:left w:val="nil"/>
              <w:bottom w:val="nil"/>
              <w:right w:val="nil"/>
            </w:tcBorders>
          </w:tcPr>
          <w:p w14:paraId="3BE1926B" w14:textId="1083BC5A" w:rsidR="00726502" w:rsidRPr="004D4906" w:rsidRDefault="00726502" w:rsidP="004D4906">
            <w:pPr>
              <w:widowControl w:val="0"/>
              <w:rPr>
                <w:rFonts w:ascii="Arial" w:hAnsi="Arial" w:cs="Arial"/>
                <w:i/>
                <w:iCs/>
                <w:sz w:val="20"/>
                <w:szCs w:val="20"/>
              </w:rPr>
            </w:pPr>
            <w:r w:rsidRPr="004D4906">
              <w:rPr>
                <w:rFonts w:ascii="Arial" w:hAnsi="Arial" w:cs="Arial"/>
                <w:i/>
                <w:iCs/>
                <w:sz w:val="20"/>
                <w:szCs w:val="20"/>
              </w:rPr>
              <w:t>Investment Summary</w:t>
            </w:r>
          </w:p>
        </w:tc>
        <w:tc>
          <w:tcPr>
            <w:tcW w:w="2990" w:type="pct"/>
            <w:tcBorders>
              <w:top w:val="nil"/>
              <w:left w:val="nil"/>
              <w:bottom w:val="nil"/>
              <w:right w:val="nil"/>
            </w:tcBorders>
            <w:shd w:val="clear" w:color="auto" w:fill="FFFFFF"/>
          </w:tcPr>
          <w:p w14:paraId="2608F90C" w14:textId="782B84AF" w:rsidR="00AF4282" w:rsidRPr="004D4906" w:rsidRDefault="001D1564" w:rsidP="004D4906">
            <w:pPr>
              <w:pStyle w:val="TableText"/>
              <w:widowControl w:val="0"/>
              <w:rPr>
                <w:rFonts w:ascii="Arial" w:hAnsi="Arial" w:cs="Arial"/>
                <w:iCs/>
                <w:sz w:val="20"/>
                <w:szCs w:val="20"/>
              </w:rPr>
            </w:pPr>
            <w:r w:rsidRPr="004D4906">
              <w:rPr>
                <w:rFonts w:ascii="Arial" w:hAnsi="Arial" w:cs="Arial"/>
                <w:b/>
                <w:bCs/>
                <w:sz w:val="20"/>
                <w:szCs w:val="20"/>
              </w:rPr>
              <w:t xml:space="preserve">Total </w:t>
            </w:r>
            <w:r w:rsidR="00AF4282" w:rsidRPr="004D4906">
              <w:rPr>
                <w:rFonts w:ascii="Arial" w:hAnsi="Arial" w:cs="Arial"/>
                <w:b/>
                <w:bCs/>
                <w:sz w:val="20"/>
                <w:szCs w:val="20"/>
              </w:rPr>
              <w:t>Round Size:</w:t>
            </w:r>
            <w:r w:rsidRPr="004D4906">
              <w:rPr>
                <w:rFonts w:ascii="Arial" w:hAnsi="Arial" w:cs="Arial"/>
                <w:b/>
                <w:bCs/>
                <w:sz w:val="20"/>
                <w:szCs w:val="20"/>
              </w:rPr>
              <w:t xml:space="preserve"> </w:t>
            </w:r>
            <w:r w:rsidR="000575E2" w:rsidRPr="000575E2">
              <w:rPr>
                <w:rFonts w:ascii="Arial" w:hAnsi="Arial" w:cs="Arial"/>
                <w:b/>
                <w:bCs/>
                <w:iCs/>
                <w:sz w:val="20"/>
                <w:szCs w:val="20"/>
              </w:rPr>
              <w:t xml:space="preserve">[●] </w:t>
            </w:r>
            <w:r w:rsidR="00F6758C">
              <w:rPr>
                <w:rStyle w:val="FootnoteReference"/>
                <w:rFonts w:cs="Arial"/>
                <w:szCs w:val="20"/>
              </w:rPr>
              <w:footnoteReference w:id="2"/>
            </w:r>
            <w:r w:rsidR="006C0960">
              <w:rPr>
                <w:rFonts w:ascii="Arial" w:hAnsi="Arial" w:cs="Arial"/>
                <w:b/>
                <w:bCs/>
                <w:iCs/>
                <w:sz w:val="20"/>
                <w:szCs w:val="20"/>
              </w:rPr>
              <w:t xml:space="preserve"> </w:t>
            </w:r>
            <w:r w:rsidR="00AF4282" w:rsidRPr="004D4906">
              <w:rPr>
                <w:rFonts w:ascii="Arial" w:hAnsi="Arial" w:cs="Arial"/>
                <w:iCs/>
                <w:sz w:val="20"/>
                <w:szCs w:val="20"/>
              </w:rPr>
              <w:t>comprising</w:t>
            </w:r>
          </w:p>
          <w:p w14:paraId="51C31593" w14:textId="6246C622" w:rsidR="00AF4282" w:rsidRPr="004D4906" w:rsidRDefault="00AF4282" w:rsidP="004D4906">
            <w:pPr>
              <w:pStyle w:val="TableText"/>
              <w:widowControl w:val="0"/>
              <w:numPr>
                <w:ilvl w:val="0"/>
                <w:numId w:val="52"/>
              </w:numPr>
              <w:rPr>
                <w:rFonts w:ascii="Arial" w:eastAsia="Calibri" w:hAnsi="Arial" w:cs="Arial"/>
                <w:sz w:val="20"/>
                <w:szCs w:val="20"/>
                <w:lang w:val="en-CA" w:eastAsia="en-US"/>
              </w:rPr>
            </w:pPr>
            <w:r w:rsidRPr="004D4906">
              <w:rPr>
                <w:rFonts w:ascii="Arial" w:eastAsia="Calibri" w:hAnsi="Arial" w:cs="Arial"/>
                <w:sz w:val="20"/>
                <w:szCs w:val="20"/>
                <w:lang w:val="en-CA" w:eastAsia="en-US"/>
              </w:rPr>
              <w:t xml:space="preserve">New Cash: </w:t>
            </w:r>
            <w:r w:rsidR="000575E2" w:rsidRPr="000575E2">
              <w:rPr>
                <w:rFonts w:ascii="Arial" w:eastAsia="Calibri" w:hAnsi="Arial" w:cs="Arial"/>
                <w:sz w:val="20"/>
                <w:szCs w:val="20"/>
                <w:lang w:val="en-CA" w:eastAsia="en-US"/>
              </w:rPr>
              <w:t xml:space="preserve">[●] </w:t>
            </w:r>
            <w:r w:rsidRPr="004D4906">
              <w:rPr>
                <w:rFonts w:ascii="Arial" w:eastAsia="Calibri" w:hAnsi="Arial" w:cs="Arial"/>
                <w:sz w:val="20"/>
                <w:szCs w:val="20"/>
                <w:lang w:val="en-CA" w:eastAsia="en-US"/>
              </w:rPr>
              <w:t xml:space="preserve"> from the Investor</w:t>
            </w:r>
            <w:r w:rsidR="00F74385">
              <w:rPr>
                <w:rFonts w:ascii="Arial" w:eastAsia="Calibri" w:hAnsi="Arial" w:cs="Arial"/>
                <w:sz w:val="20"/>
                <w:szCs w:val="20"/>
                <w:lang w:val="en-CA" w:eastAsia="en-US"/>
              </w:rPr>
              <w:t>s</w:t>
            </w:r>
            <w:r w:rsidRPr="004D4906">
              <w:rPr>
                <w:rFonts w:ascii="Arial" w:eastAsia="Calibri" w:hAnsi="Arial" w:cs="Arial"/>
                <w:sz w:val="20"/>
                <w:szCs w:val="20"/>
                <w:lang w:val="en-CA" w:eastAsia="en-US"/>
              </w:rPr>
              <w:t xml:space="preserve">. </w:t>
            </w:r>
          </w:p>
          <w:p w14:paraId="5D60D425" w14:textId="013BD86A" w:rsidR="00AF4282" w:rsidRPr="004D4906" w:rsidRDefault="00AF4282" w:rsidP="004D4906">
            <w:pPr>
              <w:pStyle w:val="TableText"/>
              <w:widowControl w:val="0"/>
              <w:numPr>
                <w:ilvl w:val="0"/>
                <w:numId w:val="52"/>
              </w:numPr>
              <w:rPr>
                <w:rFonts w:ascii="Arial" w:eastAsia="Calibri" w:hAnsi="Arial" w:cs="Arial"/>
                <w:sz w:val="20"/>
                <w:szCs w:val="20"/>
                <w:lang w:val="en-CA" w:eastAsia="en-US"/>
              </w:rPr>
            </w:pPr>
            <w:r w:rsidRPr="004D4906">
              <w:rPr>
                <w:rFonts w:ascii="Arial" w:eastAsia="Calibri" w:hAnsi="Arial" w:cs="Arial"/>
                <w:sz w:val="20"/>
                <w:szCs w:val="20"/>
                <w:lang w:val="en-CA" w:eastAsia="en-US"/>
              </w:rPr>
              <w:t>Conversion of Existing Instruments: </w:t>
            </w:r>
            <w:r w:rsidR="000575E2" w:rsidRPr="000575E2">
              <w:rPr>
                <w:rFonts w:ascii="Arial" w:eastAsia="Calibri" w:hAnsi="Arial" w:cs="Arial"/>
                <w:sz w:val="20"/>
                <w:szCs w:val="20"/>
                <w:lang w:val="en-CA" w:eastAsia="en-US"/>
              </w:rPr>
              <w:t xml:space="preserve">[●] </w:t>
            </w:r>
            <w:r w:rsidRPr="004D4906">
              <w:rPr>
                <w:rFonts w:ascii="Arial" w:eastAsia="Calibri" w:hAnsi="Arial" w:cs="Arial"/>
                <w:sz w:val="20"/>
                <w:szCs w:val="20"/>
                <w:lang w:val="en-CA" w:eastAsia="en-US"/>
              </w:rPr>
              <w:t xml:space="preserve">from the conversion of SAFEs and/or </w:t>
            </w:r>
            <w:r w:rsidR="005E1F12">
              <w:rPr>
                <w:rFonts w:ascii="Arial" w:eastAsia="Calibri" w:hAnsi="Arial" w:cs="Arial"/>
                <w:sz w:val="20"/>
                <w:szCs w:val="20"/>
                <w:lang w:val="en-CA" w:eastAsia="en-US"/>
              </w:rPr>
              <w:t>other convertible instruments</w:t>
            </w:r>
            <w:r w:rsidRPr="004D4906">
              <w:rPr>
                <w:rFonts w:ascii="Arial" w:eastAsia="Calibri" w:hAnsi="Arial" w:cs="Arial"/>
                <w:sz w:val="20"/>
                <w:szCs w:val="20"/>
                <w:lang w:val="en-CA" w:eastAsia="en-US"/>
              </w:rPr>
              <w:t>.</w:t>
            </w:r>
          </w:p>
          <w:p w14:paraId="4848ED62" w14:textId="6D9C544D" w:rsidR="00726502" w:rsidRPr="004D4906" w:rsidRDefault="00726502" w:rsidP="004D4906">
            <w:pPr>
              <w:pStyle w:val="NoSpacing"/>
              <w:widowControl w:val="0"/>
              <w:spacing w:before="120" w:after="120" w:line="280" w:lineRule="atLeast"/>
              <w:jc w:val="both"/>
              <w:rPr>
                <w:rFonts w:ascii="Arial" w:hAnsi="Arial" w:cs="Arial"/>
                <w:sz w:val="20"/>
                <w:szCs w:val="20"/>
              </w:rPr>
            </w:pPr>
            <w:r w:rsidRPr="004D4906">
              <w:rPr>
                <w:rFonts w:ascii="Arial" w:hAnsi="Arial" w:cs="Arial"/>
                <w:sz w:val="20"/>
                <w:szCs w:val="20"/>
              </w:rPr>
              <w:t>[</w:t>
            </w:r>
            <w:r w:rsidR="00FD5875" w:rsidRPr="004D4906">
              <w:rPr>
                <w:rFonts w:ascii="Arial" w:hAnsi="Arial" w:cs="Arial"/>
                <w:i/>
                <w:iCs/>
                <w:sz w:val="20"/>
                <w:szCs w:val="20"/>
              </w:rPr>
              <w:t xml:space="preserve">Describe </w:t>
            </w:r>
            <w:r w:rsidRPr="004D4906">
              <w:rPr>
                <w:rFonts w:ascii="Arial" w:hAnsi="Arial" w:cs="Arial"/>
                <w:i/>
                <w:iCs/>
                <w:sz w:val="20"/>
                <w:szCs w:val="20"/>
              </w:rPr>
              <w:t xml:space="preserve">investment from other </w:t>
            </w:r>
            <w:r w:rsidR="00AC25D1" w:rsidRPr="004D4906">
              <w:rPr>
                <w:rFonts w:ascii="Arial" w:hAnsi="Arial" w:cs="Arial"/>
                <w:i/>
                <w:iCs/>
                <w:sz w:val="20"/>
                <w:szCs w:val="20"/>
              </w:rPr>
              <w:t>Investor</w:t>
            </w:r>
            <w:r w:rsidRPr="004D4906">
              <w:rPr>
                <w:rFonts w:ascii="Arial" w:hAnsi="Arial" w:cs="Arial"/>
                <w:i/>
                <w:iCs/>
                <w:sz w:val="20"/>
                <w:szCs w:val="20"/>
              </w:rPr>
              <w:t>s if appropriate</w:t>
            </w:r>
            <w:r w:rsidRPr="004D4906">
              <w:rPr>
                <w:rFonts w:ascii="Arial" w:hAnsi="Arial" w:cs="Arial"/>
                <w:sz w:val="20"/>
                <w:szCs w:val="20"/>
              </w:rPr>
              <w:t>]</w:t>
            </w:r>
          </w:p>
          <w:p w14:paraId="0C9405CC" w14:textId="383AF116" w:rsidR="00726502" w:rsidRPr="004D4906" w:rsidRDefault="00726502" w:rsidP="004D4906">
            <w:pPr>
              <w:widowControl w:val="0"/>
              <w:spacing w:after="240" w:line="276" w:lineRule="auto"/>
              <w:rPr>
                <w:rFonts w:ascii="Arial" w:eastAsiaTheme="minorHAnsi" w:hAnsi="Arial" w:cs="Arial"/>
                <w:sz w:val="20"/>
                <w:szCs w:val="20"/>
                <w:u w:val="single"/>
                <w:lang w:val="en-ZA"/>
              </w:rPr>
            </w:pPr>
            <w:r w:rsidRPr="004D4906">
              <w:rPr>
                <w:rFonts w:ascii="Arial" w:eastAsiaTheme="minorHAnsi" w:hAnsi="Arial" w:cs="Arial"/>
                <w:sz w:val="20"/>
                <w:szCs w:val="20"/>
                <w:u w:val="single"/>
                <w:lang w:val="en-ZA"/>
              </w:rPr>
              <w:t xml:space="preserve">Total </w:t>
            </w:r>
            <w:r w:rsidR="007C7FB4" w:rsidRPr="004D4906">
              <w:rPr>
                <w:rFonts w:ascii="Arial" w:eastAsiaTheme="minorHAnsi" w:hAnsi="Arial" w:cs="Arial"/>
                <w:sz w:val="20"/>
                <w:szCs w:val="20"/>
                <w:u w:val="single"/>
                <w:lang w:val="en-ZA"/>
              </w:rPr>
              <w:t xml:space="preserve">Subscription </w:t>
            </w:r>
            <w:r w:rsidRPr="004D4906">
              <w:rPr>
                <w:rFonts w:ascii="Arial" w:eastAsiaTheme="minorHAnsi" w:hAnsi="Arial" w:cs="Arial"/>
                <w:sz w:val="20"/>
                <w:szCs w:val="20"/>
                <w:u w:val="single"/>
                <w:lang w:val="en-ZA"/>
              </w:rPr>
              <w:t>Shares:</w:t>
            </w:r>
          </w:p>
          <w:p w14:paraId="25AF23C6" w14:textId="6FEA09B6" w:rsidR="00726502" w:rsidRPr="004D4906" w:rsidRDefault="00726502" w:rsidP="004D4906">
            <w:pPr>
              <w:widowControl w:val="0"/>
              <w:numPr>
                <w:ilvl w:val="0"/>
                <w:numId w:val="10"/>
              </w:numPr>
              <w:autoSpaceDE/>
              <w:autoSpaceDN/>
              <w:adjustRightInd/>
              <w:spacing w:after="160" w:line="276" w:lineRule="auto"/>
              <w:ind w:hanging="549"/>
              <w:contextualSpacing/>
              <w:rPr>
                <w:rFonts w:ascii="Arial" w:eastAsiaTheme="minorHAnsi" w:hAnsi="Arial" w:cs="Arial"/>
                <w:sz w:val="20"/>
                <w:szCs w:val="20"/>
                <w:lang w:val="en-ZA"/>
              </w:rPr>
            </w:pPr>
            <w:r w:rsidRPr="004D4906">
              <w:rPr>
                <w:rFonts w:ascii="Arial" w:eastAsiaTheme="minorHAnsi" w:hAnsi="Arial" w:cs="Arial"/>
                <w:sz w:val="20"/>
                <w:szCs w:val="20"/>
                <w:lang w:val="en-ZA"/>
              </w:rPr>
              <w:t xml:space="preserve">Number of Shares: </w:t>
            </w:r>
            <w:r w:rsidR="000575E2" w:rsidRPr="000575E2">
              <w:rPr>
                <w:rFonts w:ascii="Arial" w:eastAsia="Calibri" w:hAnsi="Arial" w:cs="Arial"/>
                <w:b/>
                <w:bCs/>
                <w:iCs/>
                <w:sz w:val="20"/>
                <w:szCs w:val="20"/>
                <w:lang w:val="en-CA"/>
              </w:rPr>
              <w:t>[●]</w:t>
            </w:r>
          </w:p>
          <w:p w14:paraId="4AFC3367" w14:textId="00837598" w:rsidR="00726502" w:rsidRPr="004D4906" w:rsidRDefault="00726502" w:rsidP="004D4906">
            <w:pPr>
              <w:widowControl w:val="0"/>
              <w:numPr>
                <w:ilvl w:val="0"/>
                <w:numId w:val="10"/>
              </w:numPr>
              <w:autoSpaceDE/>
              <w:autoSpaceDN/>
              <w:adjustRightInd/>
              <w:spacing w:after="160" w:line="276" w:lineRule="auto"/>
              <w:ind w:hanging="549"/>
              <w:contextualSpacing/>
              <w:rPr>
                <w:rFonts w:ascii="Arial" w:hAnsi="Arial" w:cs="Arial"/>
                <w:sz w:val="20"/>
                <w:szCs w:val="20"/>
              </w:rPr>
            </w:pPr>
            <w:r w:rsidRPr="004D4906">
              <w:rPr>
                <w:rFonts w:ascii="Arial" w:eastAsiaTheme="minorHAnsi" w:hAnsi="Arial" w:cs="Arial"/>
                <w:sz w:val="20"/>
                <w:szCs w:val="20"/>
                <w:lang w:val="en-ZA"/>
              </w:rPr>
              <w:t>As a percentage of all the Shares of the Company on a Fully Diluted</w:t>
            </w:r>
            <w:r w:rsidR="00F36F25" w:rsidRPr="004D4906">
              <w:rPr>
                <w:rStyle w:val="FootnoteReference"/>
                <w:rFonts w:ascii="Arial" w:eastAsiaTheme="minorHAnsi" w:hAnsi="Arial" w:cs="Arial"/>
                <w:szCs w:val="20"/>
                <w:lang w:val="en-ZA"/>
              </w:rPr>
              <w:footnoteReference w:id="3"/>
            </w:r>
            <w:r w:rsidRPr="004D4906">
              <w:rPr>
                <w:rFonts w:ascii="Arial" w:eastAsiaTheme="minorHAnsi" w:hAnsi="Arial" w:cs="Arial"/>
                <w:sz w:val="20"/>
                <w:szCs w:val="20"/>
                <w:lang w:val="en-ZA"/>
              </w:rPr>
              <w:t xml:space="preserve"> </w:t>
            </w:r>
            <w:r w:rsidR="00F36F25" w:rsidRPr="004D4906">
              <w:rPr>
                <w:rFonts w:ascii="Arial" w:eastAsiaTheme="minorHAnsi" w:hAnsi="Arial" w:cs="Arial"/>
                <w:sz w:val="20"/>
                <w:szCs w:val="20"/>
                <w:lang w:val="en-ZA"/>
              </w:rPr>
              <w:t>basis</w:t>
            </w:r>
            <w:r w:rsidR="000575E2">
              <w:rPr>
                <w:rFonts w:ascii="Arial" w:eastAsiaTheme="minorHAnsi" w:hAnsi="Arial" w:cs="Arial"/>
                <w:sz w:val="20"/>
                <w:szCs w:val="20"/>
                <w:lang w:val="en-ZA"/>
              </w:rPr>
              <w:t>:</w:t>
            </w:r>
            <w:r w:rsidR="00F36F25" w:rsidRPr="004D4906">
              <w:rPr>
                <w:rFonts w:ascii="Arial" w:eastAsiaTheme="minorHAnsi" w:hAnsi="Arial" w:cs="Arial"/>
                <w:sz w:val="20"/>
                <w:szCs w:val="20"/>
                <w:lang w:val="en-ZA"/>
              </w:rPr>
              <w:t xml:space="preserve"> </w:t>
            </w:r>
            <w:r w:rsidR="000575E2" w:rsidRPr="000575E2">
              <w:rPr>
                <w:rFonts w:ascii="Arial" w:eastAsia="Calibri" w:hAnsi="Arial" w:cs="Arial"/>
                <w:b/>
                <w:bCs/>
                <w:iCs/>
                <w:sz w:val="20"/>
                <w:szCs w:val="20"/>
                <w:lang w:val="en-CA"/>
              </w:rPr>
              <w:t>[●]</w:t>
            </w:r>
          </w:p>
          <w:p w14:paraId="2ABA2C31" w14:textId="2ECA2F85" w:rsidR="00F36F25" w:rsidRPr="004D4906" w:rsidRDefault="00F36F25" w:rsidP="004D4906">
            <w:pPr>
              <w:widowControl w:val="0"/>
              <w:spacing w:after="160" w:line="276" w:lineRule="auto"/>
              <w:contextualSpacing/>
              <w:rPr>
                <w:rFonts w:ascii="Arial" w:eastAsia="Calibri" w:hAnsi="Arial" w:cs="Arial"/>
                <w:iCs/>
                <w:sz w:val="20"/>
                <w:szCs w:val="20"/>
                <w:lang w:val="en-CA"/>
              </w:rPr>
            </w:pPr>
            <w:r w:rsidRPr="004D4906">
              <w:rPr>
                <w:rFonts w:ascii="Arial" w:eastAsia="Calibri" w:hAnsi="Arial" w:cs="Arial"/>
                <w:iCs/>
                <w:sz w:val="20"/>
                <w:szCs w:val="20"/>
                <w:lang w:val="en-CA"/>
              </w:rPr>
              <w:lastRenderedPageBreak/>
              <w:t xml:space="preserve">  </w:t>
            </w:r>
          </w:p>
          <w:p w14:paraId="4CFB158E" w14:textId="77777777" w:rsidR="00F36F25" w:rsidRPr="004D4906" w:rsidRDefault="00F36F25" w:rsidP="004D4906">
            <w:pPr>
              <w:widowControl w:val="0"/>
              <w:spacing w:after="160" w:line="276" w:lineRule="auto"/>
              <w:contextualSpacing/>
              <w:rPr>
                <w:rFonts w:ascii="Arial" w:eastAsia="Calibri" w:hAnsi="Arial" w:cs="Arial"/>
                <w:iCs/>
                <w:sz w:val="20"/>
                <w:szCs w:val="20"/>
                <w:lang w:val="en-CA"/>
              </w:rPr>
            </w:pPr>
          </w:p>
          <w:p w14:paraId="73039C8E" w14:textId="77777777" w:rsidR="004D4906" w:rsidRDefault="004D4906" w:rsidP="004D4906">
            <w:pPr>
              <w:widowControl w:val="0"/>
              <w:spacing w:after="160" w:line="276" w:lineRule="auto"/>
              <w:contextualSpacing/>
              <w:rPr>
                <w:rFonts w:ascii="Arial" w:eastAsia="Calibri" w:hAnsi="Arial" w:cs="Arial"/>
                <w:b/>
                <w:bCs/>
                <w:iCs/>
                <w:sz w:val="20"/>
                <w:szCs w:val="20"/>
                <w:u w:val="single"/>
                <w:lang w:val="en-CA"/>
              </w:rPr>
            </w:pPr>
          </w:p>
          <w:p w14:paraId="68754633" w14:textId="77777777" w:rsidR="004D4906" w:rsidRDefault="004D4906" w:rsidP="004D4906">
            <w:pPr>
              <w:widowControl w:val="0"/>
              <w:spacing w:after="160" w:line="276" w:lineRule="auto"/>
              <w:contextualSpacing/>
              <w:rPr>
                <w:rFonts w:ascii="Arial" w:eastAsia="Calibri" w:hAnsi="Arial" w:cs="Arial"/>
                <w:b/>
                <w:bCs/>
                <w:iCs/>
                <w:sz w:val="20"/>
                <w:szCs w:val="20"/>
                <w:u w:val="single"/>
                <w:lang w:val="en-CA"/>
              </w:rPr>
            </w:pPr>
          </w:p>
          <w:p w14:paraId="4BD2D720" w14:textId="77777777" w:rsidR="006C0960" w:rsidRDefault="006C0960" w:rsidP="004D4906">
            <w:pPr>
              <w:widowControl w:val="0"/>
              <w:spacing w:after="160" w:line="276" w:lineRule="auto"/>
              <w:contextualSpacing/>
              <w:rPr>
                <w:rFonts w:ascii="Arial" w:eastAsia="Calibri" w:hAnsi="Arial" w:cs="Arial"/>
                <w:b/>
                <w:bCs/>
                <w:iCs/>
                <w:sz w:val="20"/>
                <w:szCs w:val="20"/>
                <w:u w:val="single"/>
                <w:lang w:val="en-CA"/>
              </w:rPr>
            </w:pPr>
          </w:p>
          <w:p w14:paraId="28936F2E" w14:textId="77777777" w:rsidR="006C0960" w:rsidRDefault="006C0960" w:rsidP="004D4906">
            <w:pPr>
              <w:widowControl w:val="0"/>
              <w:spacing w:after="160" w:line="276" w:lineRule="auto"/>
              <w:contextualSpacing/>
              <w:rPr>
                <w:rFonts w:ascii="Arial" w:eastAsia="Calibri" w:hAnsi="Arial" w:cs="Arial"/>
                <w:b/>
                <w:bCs/>
                <w:iCs/>
                <w:sz w:val="20"/>
                <w:szCs w:val="20"/>
                <w:u w:val="single"/>
                <w:lang w:val="en-CA"/>
              </w:rPr>
            </w:pPr>
          </w:p>
          <w:p w14:paraId="46570037" w14:textId="5A527EF3" w:rsidR="00726502" w:rsidRPr="004D4906" w:rsidRDefault="00726502" w:rsidP="004D4906">
            <w:pPr>
              <w:widowControl w:val="0"/>
              <w:spacing w:after="160" w:line="276" w:lineRule="auto"/>
              <w:contextualSpacing/>
              <w:rPr>
                <w:rFonts w:ascii="Arial" w:eastAsia="Calibri" w:hAnsi="Arial" w:cs="Arial"/>
                <w:iCs/>
                <w:sz w:val="20"/>
                <w:szCs w:val="20"/>
                <w:u w:val="single"/>
                <w:lang w:val="en-CA"/>
              </w:rPr>
            </w:pPr>
            <w:r w:rsidRPr="004D4906">
              <w:rPr>
                <w:rFonts w:ascii="Arial" w:eastAsia="Calibri" w:hAnsi="Arial" w:cs="Arial"/>
                <w:b/>
                <w:bCs/>
                <w:iCs/>
                <w:sz w:val="20"/>
                <w:szCs w:val="20"/>
                <w:u w:val="single"/>
                <w:lang w:val="en-CA"/>
              </w:rPr>
              <w:t>[If Applicable:]</w:t>
            </w:r>
            <w:r w:rsidRPr="004D4906">
              <w:rPr>
                <w:rFonts w:ascii="Arial" w:eastAsia="Calibri" w:hAnsi="Arial" w:cs="Arial"/>
                <w:iCs/>
                <w:sz w:val="20"/>
                <w:szCs w:val="20"/>
                <w:u w:val="single"/>
                <w:lang w:val="en-CA"/>
              </w:rPr>
              <w:t xml:space="preserve"> Investment Tranching</w:t>
            </w:r>
            <w:r w:rsidR="00D15BE7">
              <w:rPr>
                <w:rStyle w:val="FootnoteReference"/>
                <w:rFonts w:eastAsia="Calibri" w:cs="Arial"/>
                <w:iCs/>
                <w:szCs w:val="20"/>
                <w:u w:val="single"/>
                <w:lang w:val="en-CA"/>
              </w:rPr>
              <w:footnoteReference w:id="4"/>
            </w:r>
            <w:r w:rsidR="001D1564" w:rsidRPr="004D4906">
              <w:rPr>
                <w:rFonts w:ascii="Arial" w:eastAsia="Calibri" w:hAnsi="Arial" w:cs="Arial"/>
                <w:iCs/>
                <w:sz w:val="20"/>
                <w:szCs w:val="20"/>
                <w:u w:val="single"/>
                <w:lang w:val="en-CA"/>
              </w:rPr>
              <w:t>:</w:t>
            </w:r>
          </w:p>
          <w:p w14:paraId="12B02A1B" w14:textId="77777777" w:rsidR="00726502" w:rsidRPr="004D4906" w:rsidRDefault="00726502" w:rsidP="004D4906">
            <w:pPr>
              <w:widowControl w:val="0"/>
              <w:spacing w:after="160" w:line="276" w:lineRule="auto"/>
              <w:contextualSpacing/>
              <w:rPr>
                <w:rFonts w:ascii="Arial" w:eastAsia="Calibri" w:hAnsi="Arial" w:cs="Arial"/>
                <w:b/>
                <w:bCs/>
                <w:iCs/>
                <w:sz w:val="20"/>
                <w:szCs w:val="20"/>
                <w:lang w:val="en-CA"/>
              </w:rPr>
            </w:pPr>
          </w:p>
          <w:p w14:paraId="0B4C0569" w14:textId="4E430B94" w:rsidR="00726502" w:rsidRPr="004D4906" w:rsidRDefault="00726502" w:rsidP="004D4906">
            <w:pPr>
              <w:widowControl w:val="0"/>
              <w:spacing w:after="160" w:line="276" w:lineRule="auto"/>
              <w:contextualSpacing/>
              <w:jc w:val="both"/>
              <w:rPr>
                <w:rFonts w:ascii="Arial" w:eastAsia="Calibri" w:hAnsi="Arial" w:cs="Arial"/>
                <w:iCs/>
                <w:sz w:val="20"/>
                <w:szCs w:val="20"/>
                <w:lang w:val="en-CA"/>
              </w:rPr>
            </w:pPr>
            <w:r w:rsidRPr="004D4906">
              <w:rPr>
                <w:rFonts w:ascii="Arial" w:eastAsia="Calibri" w:hAnsi="Arial" w:cs="Arial"/>
                <w:iCs/>
                <w:sz w:val="20"/>
                <w:szCs w:val="20"/>
                <w:lang w:val="en-CA"/>
              </w:rPr>
              <w:t>The Investor will make its aggregate investment in the following tranches, subject to fulfilment of the condition for each tranche:</w:t>
            </w:r>
          </w:p>
          <w:p w14:paraId="650C342D" w14:textId="77777777" w:rsidR="00726502" w:rsidRPr="004D4906" w:rsidRDefault="00726502" w:rsidP="004D4906">
            <w:pPr>
              <w:widowControl w:val="0"/>
              <w:spacing w:after="160" w:line="276" w:lineRule="auto"/>
              <w:contextualSpacing/>
              <w:rPr>
                <w:rFonts w:ascii="Arial" w:eastAsia="Calibri" w:hAnsi="Arial" w:cs="Arial"/>
                <w:iCs/>
                <w:sz w:val="20"/>
                <w:szCs w:val="20"/>
                <w:lang w:val="en-CA"/>
              </w:rPr>
            </w:pPr>
          </w:p>
          <w:tbl>
            <w:tblPr>
              <w:tblStyle w:val="TableGrid"/>
              <w:tblW w:w="0" w:type="auto"/>
              <w:tblLook w:val="04A0" w:firstRow="1" w:lastRow="0" w:firstColumn="1" w:lastColumn="0" w:noHBand="0" w:noVBand="1"/>
            </w:tblPr>
            <w:tblGrid>
              <w:gridCol w:w="1167"/>
              <w:gridCol w:w="1476"/>
              <w:gridCol w:w="2728"/>
            </w:tblGrid>
            <w:tr w:rsidR="00A10603" w:rsidRPr="004D4906" w14:paraId="4FACC0DF" w14:textId="77777777" w:rsidTr="001D1564">
              <w:tc>
                <w:tcPr>
                  <w:tcW w:w="1167" w:type="dxa"/>
                </w:tcPr>
                <w:p w14:paraId="203A852E" w14:textId="77777777" w:rsidR="00726502" w:rsidRPr="004D4906" w:rsidRDefault="00726502" w:rsidP="004D4906">
                  <w:pPr>
                    <w:widowControl w:val="0"/>
                    <w:spacing w:after="160" w:line="276" w:lineRule="auto"/>
                    <w:contextualSpacing/>
                    <w:rPr>
                      <w:rFonts w:ascii="Arial" w:eastAsia="Calibri" w:hAnsi="Arial" w:cs="Arial"/>
                      <w:b/>
                      <w:bCs/>
                      <w:iCs/>
                      <w:sz w:val="20"/>
                      <w:szCs w:val="20"/>
                      <w:lang w:val="en-CA"/>
                    </w:rPr>
                  </w:pPr>
                  <w:r w:rsidRPr="004D4906">
                    <w:rPr>
                      <w:rFonts w:ascii="Arial" w:eastAsia="Calibri" w:hAnsi="Arial" w:cs="Arial"/>
                      <w:b/>
                      <w:bCs/>
                      <w:iCs/>
                      <w:sz w:val="20"/>
                      <w:szCs w:val="20"/>
                      <w:lang w:val="en-CA"/>
                    </w:rPr>
                    <w:t>Tranche</w:t>
                  </w:r>
                </w:p>
              </w:tc>
              <w:tc>
                <w:tcPr>
                  <w:tcW w:w="1476" w:type="dxa"/>
                </w:tcPr>
                <w:p w14:paraId="0013FF98" w14:textId="77777777" w:rsidR="00726502" w:rsidRPr="004D4906" w:rsidRDefault="00726502" w:rsidP="004D4906">
                  <w:pPr>
                    <w:widowControl w:val="0"/>
                    <w:spacing w:after="160" w:line="276" w:lineRule="auto"/>
                    <w:contextualSpacing/>
                    <w:rPr>
                      <w:rFonts w:ascii="Arial" w:eastAsia="Calibri" w:hAnsi="Arial" w:cs="Arial"/>
                      <w:b/>
                      <w:bCs/>
                      <w:iCs/>
                      <w:sz w:val="20"/>
                      <w:szCs w:val="20"/>
                      <w:lang w:val="en-CA"/>
                    </w:rPr>
                  </w:pPr>
                  <w:r w:rsidRPr="004D4906">
                    <w:rPr>
                      <w:rFonts w:ascii="Arial" w:eastAsia="Calibri" w:hAnsi="Arial" w:cs="Arial"/>
                      <w:b/>
                      <w:bCs/>
                      <w:iCs/>
                      <w:sz w:val="20"/>
                      <w:szCs w:val="20"/>
                      <w:lang w:val="en-CA"/>
                    </w:rPr>
                    <w:t>Amount</w:t>
                  </w:r>
                </w:p>
              </w:tc>
              <w:tc>
                <w:tcPr>
                  <w:tcW w:w="2728" w:type="dxa"/>
                </w:tcPr>
                <w:p w14:paraId="1A412172" w14:textId="77777777" w:rsidR="00726502" w:rsidRPr="004D4906" w:rsidRDefault="00726502" w:rsidP="004D4906">
                  <w:pPr>
                    <w:widowControl w:val="0"/>
                    <w:spacing w:after="160" w:line="276" w:lineRule="auto"/>
                    <w:contextualSpacing/>
                    <w:rPr>
                      <w:rFonts w:ascii="Arial" w:eastAsia="Calibri" w:hAnsi="Arial" w:cs="Arial"/>
                      <w:b/>
                      <w:bCs/>
                      <w:iCs/>
                      <w:sz w:val="20"/>
                      <w:szCs w:val="20"/>
                      <w:lang w:val="en-CA"/>
                    </w:rPr>
                  </w:pPr>
                  <w:r w:rsidRPr="004D4906">
                    <w:rPr>
                      <w:rFonts w:ascii="Arial" w:eastAsia="Calibri" w:hAnsi="Arial" w:cs="Arial"/>
                      <w:b/>
                      <w:bCs/>
                      <w:iCs/>
                      <w:sz w:val="20"/>
                      <w:szCs w:val="20"/>
                      <w:lang w:val="en-CA"/>
                    </w:rPr>
                    <w:t>Payment Condition</w:t>
                  </w:r>
                </w:p>
              </w:tc>
            </w:tr>
            <w:tr w:rsidR="00A10603" w:rsidRPr="004D4906" w14:paraId="5FEABA98" w14:textId="77777777" w:rsidTr="001D1564">
              <w:tc>
                <w:tcPr>
                  <w:tcW w:w="1167" w:type="dxa"/>
                </w:tcPr>
                <w:p w14:paraId="317003D2" w14:textId="77777777" w:rsidR="00726502" w:rsidRPr="004D4906" w:rsidRDefault="00726502" w:rsidP="004D4906">
                  <w:pPr>
                    <w:widowControl w:val="0"/>
                    <w:spacing w:after="160" w:line="276" w:lineRule="auto"/>
                    <w:contextualSpacing/>
                    <w:rPr>
                      <w:rFonts w:ascii="Arial" w:eastAsia="Calibri" w:hAnsi="Arial" w:cs="Arial"/>
                      <w:iCs/>
                      <w:sz w:val="20"/>
                      <w:szCs w:val="20"/>
                      <w:lang w:val="en-CA"/>
                    </w:rPr>
                  </w:pPr>
                  <w:r w:rsidRPr="004D4906">
                    <w:rPr>
                      <w:rFonts w:ascii="Arial" w:eastAsia="Calibri" w:hAnsi="Arial" w:cs="Arial"/>
                      <w:iCs/>
                      <w:sz w:val="20"/>
                      <w:szCs w:val="20"/>
                      <w:lang w:val="en-CA"/>
                    </w:rPr>
                    <w:t>Tranche 1</w:t>
                  </w:r>
                </w:p>
              </w:tc>
              <w:tc>
                <w:tcPr>
                  <w:tcW w:w="1476" w:type="dxa"/>
                </w:tcPr>
                <w:p w14:paraId="314F6AA1" w14:textId="7D2011EB" w:rsidR="00726502" w:rsidRPr="004D4906" w:rsidRDefault="000575E2" w:rsidP="004D4906">
                  <w:pPr>
                    <w:widowControl w:val="0"/>
                    <w:spacing w:after="160" w:line="276" w:lineRule="auto"/>
                    <w:contextualSpacing/>
                    <w:rPr>
                      <w:rFonts w:ascii="Arial" w:eastAsia="Calibri" w:hAnsi="Arial" w:cs="Arial"/>
                      <w:iCs/>
                      <w:sz w:val="20"/>
                      <w:szCs w:val="20"/>
                      <w:lang w:val="en-CA"/>
                    </w:rPr>
                  </w:pPr>
                  <w:r w:rsidRPr="000575E2">
                    <w:rPr>
                      <w:rFonts w:ascii="Arial" w:eastAsia="Calibri" w:hAnsi="Arial" w:cs="Arial"/>
                      <w:b/>
                      <w:bCs/>
                      <w:iCs/>
                      <w:sz w:val="20"/>
                      <w:szCs w:val="20"/>
                      <w:lang w:val="en-CA"/>
                    </w:rPr>
                    <w:t>[●]</w:t>
                  </w:r>
                </w:p>
              </w:tc>
              <w:tc>
                <w:tcPr>
                  <w:tcW w:w="2728" w:type="dxa"/>
                </w:tcPr>
                <w:p w14:paraId="4EBA6613" w14:textId="77777777" w:rsidR="00726502" w:rsidRPr="004D4906" w:rsidRDefault="00726502" w:rsidP="004D4906">
                  <w:pPr>
                    <w:widowControl w:val="0"/>
                    <w:spacing w:after="160" w:line="276" w:lineRule="auto"/>
                    <w:contextualSpacing/>
                    <w:rPr>
                      <w:rFonts w:ascii="Arial" w:eastAsia="Calibri" w:hAnsi="Arial" w:cs="Arial"/>
                      <w:iCs/>
                      <w:sz w:val="20"/>
                      <w:szCs w:val="20"/>
                      <w:lang w:val="en-CA"/>
                    </w:rPr>
                  </w:pPr>
                  <w:r w:rsidRPr="004D4906">
                    <w:rPr>
                      <w:rFonts w:ascii="Arial" w:eastAsia="Calibri" w:hAnsi="Arial" w:cs="Arial"/>
                      <w:iCs/>
                      <w:sz w:val="20"/>
                      <w:szCs w:val="20"/>
                      <w:lang w:val="en-CA"/>
                    </w:rPr>
                    <w:t xml:space="preserve">Closing: definitive legal agreements become unconditional. </w:t>
                  </w:r>
                </w:p>
              </w:tc>
            </w:tr>
            <w:tr w:rsidR="00A10603" w:rsidRPr="004D4906" w14:paraId="09C31F90" w14:textId="77777777" w:rsidTr="001D1564">
              <w:tc>
                <w:tcPr>
                  <w:tcW w:w="1167" w:type="dxa"/>
                </w:tcPr>
                <w:p w14:paraId="4B05554D" w14:textId="77777777" w:rsidR="00726502" w:rsidRPr="004D4906" w:rsidRDefault="00726502" w:rsidP="004D4906">
                  <w:pPr>
                    <w:widowControl w:val="0"/>
                    <w:spacing w:after="160" w:line="276" w:lineRule="auto"/>
                    <w:contextualSpacing/>
                    <w:rPr>
                      <w:rFonts w:ascii="Arial" w:eastAsia="Calibri" w:hAnsi="Arial" w:cs="Arial"/>
                      <w:iCs/>
                      <w:sz w:val="20"/>
                      <w:szCs w:val="20"/>
                      <w:lang w:val="en-CA"/>
                    </w:rPr>
                  </w:pPr>
                  <w:r w:rsidRPr="004D4906">
                    <w:rPr>
                      <w:rFonts w:ascii="Arial" w:eastAsia="Calibri" w:hAnsi="Arial" w:cs="Arial"/>
                      <w:iCs/>
                      <w:sz w:val="20"/>
                      <w:szCs w:val="20"/>
                      <w:lang w:val="en-CA"/>
                    </w:rPr>
                    <w:t>Tranche 2</w:t>
                  </w:r>
                </w:p>
              </w:tc>
              <w:tc>
                <w:tcPr>
                  <w:tcW w:w="1476" w:type="dxa"/>
                </w:tcPr>
                <w:p w14:paraId="26A63D05" w14:textId="525C51EA" w:rsidR="00726502" w:rsidRPr="004D4906" w:rsidRDefault="000575E2" w:rsidP="004D4906">
                  <w:pPr>
                    <w:widowControl w:val="0"/>
                    <w:spacing w:after="160" w:line="276" w:lineRule="auto"/>
                    <w:contextualSpacing/>
                    <w:rPr>
                      <w:rFonts w:ascii="Arial" w:eastAsia="Calibri" w:hAnsi="Arial" w:cs="Arial"/>
                      <w:iCs/>
                      <w:sz w:val="20"/>
                      <w:szCs w:val="20"/>
                      <w:lang w:val="en-CA"/>
                    </w:rPr>
                  </w:pPr>
                  <w:r w:rsidRPr="000575E2">
                    <w:rPr>
                      <w:rFonts w:ascii="Arial" w:eastAsia="Calibri" w:hAnsi="Arial" w:cs="Arial"/>
                      <w:b/>
                      <w:bCs/>
                      <w:iCs/>
                      <w:sz w:val="20"/>
                      <w:szCs w:val="20"/>
                      <w:lang w:val="en-CA"/>
                    </w:rPr>
                    <w:t>[●]</w:t>
                  </w:r>
                </w:p>
              </w:tc>
              <w:tc>
                <w:tcPr>
                  <w:tcW w:w="2728" w:type="dxa"/>
                </w:tcPr>
                <w:p w14:paraId="527FBEAF" w14:textId="77777777" w:rsidR="00726502" w:rsidRPr="004D4906" w:rsidRDefault="00726502" w:rsidP="004D4906">
                  <w:pPr>
                    <w:widowControl w:val="0"/>
                    <w:spacing w:after="160" w:line="276" w:lineRule="auto"/>
                    <w:contextualSpacing/>
                    <w:rPr>
                      <w:rFonts w:ascii="Arial" w:eastAsia="Calibri" w:hAnsi="Arial" w:cs="Arial"/>
                      <w:iCs/>
                      <w:sz w:val="20"/>
                      <w:szCs w:val="20"/>
                      <w:lang w:val="en-CA"/>
                    </w:rPr>
                  </w:pPr>
                  <w:r w:rsidRPr="004D4906">
                    <w:rPr>
                      <w:rFonts w:ascii="Arial" w:eastAsia="Calibri" w:hAnsi="Arial" w:cs="Arial"/>
                      <w:b/>
                      <w:bCs/>
                      <w:iCs/>
                      <w:sz w:val="20"/>
                      <w:szCs w:val="20"/>
                      <w:lang w:val="en-CA"/>
                    </w:rPr>
                    <w:t>[INSERT CONDITIONS]</w:t>
                  </w:r>
                </w:p>
              </w:tc>
            </w:tr>
            <w:tr w:rsidR="00A10603" w:rsidRPr="004D4906" w14:paraId="099AB080" w14:textId="77777777" w:rsidTr="001D1564">
              <w:tc>
                <w:tcPr>
                  <w:tcW w:w="1167" w:type="dxa"/>
                </w:tcPr>
                <w:p w14:paraId="1D9E7E94" w14:textId="77777777" w:rsidR="00726502" w:rsidRPr="004D4906" w:rsidRDefault="00726502" w:rsidP="004D4906">
                  <w:pPr>
                    <w:widowControl w:val="0"/>
                    <w:spacing w:after="160" w:line="276" w:lineRule="auto"/>
                    <w:contextualSpacing/>
                    <w:rPr>
                      <w:rFonts w:ascii="Arial" w:eastAsia="Calibri" w:hAnsi="Arial" w:cs="Arial"/>
                      <w:iCs/>
                      <w:sz w:val="20"/>
                      <w:szCs w:val="20"/>
                      <w:lang w:val="en-CA"/>
                    </w:rPr>
                  </w:pPr>
                  <w:r w:rsidRPr="004D4906">
                    <w:rPr>
                      <w:rFonts w:ascii="Arial" w:eastAsia="Calibri" w:hAnsi="Arial" w:cs="Arial"/>
                      <w:iCs/>
                      <w:sz w:val="20"/>
                      <w:szCs w:val="20"/>
                      <w:lang w:val="en-CA"/>
                    </w:rPr>
                    <w:t>Tranche 3</w:t>
                  </w:r>
                </w:p>
              </w:tc>
              <w:tc>
                <w:tcPr>
                  <w:tcW w:w="1476" w:type="dxa"/>
                </w:tcPr>
                <w:p w14:paraId="646AAE22" w14:textId="3ABF6D6D" w:rsidR="00726502" w:rsidRPr="004D4906" w:rsidRDefault="000575E2" w:rsidP="004D4906">
                  <w:pPr>
                    <w:widowControl w:val="0"/>
                    <w:spacing w:after="160" w:line="276" w:lineRule="auto"/>
                    <w:contextualSpacing/>
                    <w:rPr>
                      <w:rFonts w:ascii="Arial" w:eastAsia="Calibri" w:hAnsi="Arial" w:cs="Arial"/>
                      <w:iCs/>
                      <w:sz w:val="20"/>
                      <w:szCs w:val="20"/>
                      <w:lang w:val="en-CA"/>
                    </w:rPr>
                  </w:pPr>
                  <w:r w:rsidRPr="000575E2">
                    <w:rPr>
                      <w:rFonts w:ascii="Arial" w:eastAsia="Calibri" w:hAnsi="Arial" w:cs="Arial"/>
                      <w:b/>
                      <w:bCs/>
                      <w:iCs/>
                      <w:sz w:val="20"/>
                      <w:szCs w:val="20"/>
                      <w:lang w:val="en-CA"/>
                    </w:rPr>
                    <w:t xml:space="preserve">[●] </w:t>
                  </w:r>
                </w:p>
              </w:tc>
              <w:tc>
                <w:tcPr>
                  <w:tcW w:w="2728" w:type="dxa"/>
                </w:tcPr>
                <w:p w14:paraId="6BA73B4C" w14:textId="77777777" w:rsidR="00726502" w:rsidRPr="004D4906" w:rsidRDefault="00726502" w:rsidP="004D4906">
                  <w:pPr>
                    <w:widowControl w:val="0"/>
                    <w:spacing w:after="160" w:line="276" w:lineRule="auto"/>
                    <w:contextualSpacing/>
                    <w:rPr>
                      <w:rFonts w:ascii="Arial" w:eastAsia="Calibri" w:hAnsi="Arial" w:cs="Arial"/>
                      <w:iCs/>
                      <w:sz w:val="20"/>
                      <w:szCs w:val="20"/>
                      <w:lang w:val="en-CA"/>
                    </w:rPr>
                  </w:pPr>
                  <w:r w:rsidRPr="004D4906">
                    <w:rPr>
                      <w:rFonts w:ascii="Arial" w:eastAsia="Calibri" w:hAnsi="Arial" w:cs="Arial"/>
                      <w:b/>
                      <w:bCs/>
                      <w:iCs/>
                      <w:sz w:val="20"/>
                      <w:szCs w:val="20"/>
                      <w:lang w:val="en-CA"/>
                    </w:rPr>
                    <w:t>[INSERT CONDITIONS]</w:t>
                  </w:r>
                </w:p>
              </w:tc>
            </w:tr>
          </w:tbl>
          <w:p w14:paraId="57BAECB6" w14:textId="77777777" w:rsidR="00726502" w:rsidRPr="004D4906" w:rsidRDefault="00726502" w:rsidP="004D4906">
            <w:pPr>
              <w:pStyle w:val="TableText"/>
              <w:widowControl w:val="0"/>
              <w:rPr>
                <w:rFonts w:ascii="Arial" w:hAnsi="Arial" w:cs="Arial"/>
                <w:sz w:val="20"/>
                <w:szCs w:val="20"/>
              </w:rPr>
            </w:pPr>
          </w:p>
        </w:tc>
      </w:tr>
      <w:tr w:rsidR="00726502" w:rsidRPr="004D4906" w14:paraId="76581D6D" w14:textId="77777777" w:rsidTr="0002776F">
        <w:tc>
          <w:tcPr>
            <w:tcW w:w="2010" w:type="pct"/>
            <w:tcBorders>
              <w:top w:val="nil"/>
              <w:left w:val="nil"/>
              <w:bottom w:val="nil"/>
              <w:right w:val="nil"/>
            </w:tcBorders>
          </w:tcPr>
          <w:p w14:paraId="15880F5D" w14:textId="6556A84E" w:rsidR="00726502" w:rsidRPr="004D4906" w:rsidRDefault="00726502" w:rsidP="004D4906">
            <w:pPr>
              <w:widowControl w:val="0"/>
              <w:rPr>
                <w:rFonts w:ascii="Arial" w:hAnsi="Arial" w:cs="Arial"/>
                <w:i/>
                <w:iCs/>
                <w:sz w:val="20"/>
                <w:szCs w:val="20"/>
              </w:rPr>
            </w:pPr>
          </w:p>
        </w:tc>
        <w:tc>
          <w:tcPr>
            <w:tcW w:w="2990" w:type="pct"/>
            <w:tcBorders>
              <w:top w:val="nil"/>
              <w:left w:val="nil"/>
              <w:bottom w:val="nil"/>
              <w:right w:val="nil"/>
            </w:tcBorders>
            <w:shd w:val="clear" w:color="auto" w:fill="FFFFFF"/>
          </w:tcPr>
          <w:p w14:paraId="1FC226D3" w14:textId="62289024" w:rsidR="00726502" w:rsidRPr="004D4906" w:rsidRDefault="00726502" w:rsidP="004D4906">
            <w:pPr>
              <w:pStyle w:val="TableText"/>
              <w:widowControl w:val="0"/>
              <w:rPr>
                <w:rFonts w:ascii="Arial" w:hAnsi="Arial" w:cs="Arial"/>
                <w:sz w:val="20"/>
                <w:szCs w:val="20"/>
              </w:rPr>
            </w:pPr>
          </w:p>
        </w:tc>
      </w:tr>
      <w:tr w:rsidR="00C859C1" w:rsidRPr="004D4906" w14:paraId="727A0660" w14:textId="77777777" w:rsidTr="0002776F">
        <w:tc>
          <w:tcPr>
            <w:tcW w:w="2010" w:type="pct"/>
            <w:tcBorders>
              <w:top w:val="nil"/>
              <w:left w:val="nil"/>
              <w:bottom w:val="nil"/>
              <w:right w:val="nil"/>
            </w:tcBorders>
          </w:tcPr>
          <w:p w14:paraId="1DC47234" w14:textId="069F689F" w:rsidR="005C2A21" w:rsidRPr="004D4906" w:rsidRDefault="005C2A21" w:rsidP="004D4906">
            <w:pPr>
              <w:widowControl w:val="0"/>
              <w:rPr>
                <w:rFonts w:ascii="Arial" w:hAnsi="Arial" w:cs="Arial"/>
                <w:i/>
                <w:iCs/>
                <w:sz w:val="20"/>
                <w:szCs w:val="20"/>
              </w:rPr>
            </w:pPr>
            <w:r w:rsidRPr="004D4906">
              <w:rPr>
                <w:rFonts w:ascii="Arial" w:hAnsi="Arial" w:cs="Arial"/>
                <w:i/>
                <w:iCs/>
                <w:sz w:val="20"/>
                <w:szCs w:val="20"/>
              </w:rPr>
              <w:t>Founders</w:t>
            </w:r>
          </w:p>
        </w:tc>
        <w:tc>
          <w:tcPr>
            <w:tcW w:w="2990" w:type="pct"/>
            <w:tcBorders>
              <w:top w:val="nil"/>
              <w:left w:val="nil"/>
              <w:bottom w:val="nil"/>
              <w:right w:val="nil"/>
            </w:tcBorders>
            <w:shd w:val="clear" w:color="auto" w:fill="FFFFFF"/>
          </w:tcPr>
          <w:p w14:paraId="145DEDD7" w14:textId="6127110A" w:rsidR="005C2A21" w:rsidRPr="004D4906" w:rsidDel="005C2A21" w:rsidRDefault="007E7964" w:rsidP="004D4906">
            <w:pPr>
              <w:pStyle w:val="TableText"/>
              <w:widowControl w:val="0"/>
              <w:rPr>
                <w:rFonts w:ascii="Arial" w:hAnsi="Arial" w:cs="Arial"/>
                <w:sz w:val="20"/>
                <w:szCs w:val="20"/>
              </w:rPr>
            </w:pPr>
            <w:r w:rsidRPr="004D4906">
              <w:rPr>
                <w:rFonts w:ascii="Arial" w:hAnsi="Arial" w:cs="Arial"/>
                <w:sz w:val="20"/>
                <w:szCs w:val="20"/>
              </w:rPr>
              <w:t xml:space="preserve">Identified in </w:t>
            </w:r>
            <w:r w:rsidR="005C2A21" w:rsidRPr="004D4906">
              <w:rPr>
                <w:rFonts w:ascii="Arial" w:hAnsi="Arial" w:cs="Arial"/>
                <w:b/>
                <w:bCs/>
                <w:sz w:val="20"/>
                <w:szCs w:val="20"/>
              </w:rPr>
              <w:t>Schedule B</w:t>
            </w:r>
            <w:r w:rsidR="007C7FB4" w:rsidRPr="004D4906">
              <w:rPr>
                <w:rFonts w:ascii="Arial" w:hAnsi="Arial" w:cs="Arial"/>
                <w:bCs/>
                <w:sz w:val="20"/>
                <w:szCs w:val="20"/>
              </w:rPr>
              <w:t>.</w:t>
            </w:r>
          </w:p>
        </w:tc>
      </w:tr>
      <w:tr w:rsidR="00C859C1" w:rsidRPr="004D4906" w14:paraId="2564320F" w14:textId="77777777" w:rsidTr="0002776F">
        <w:tc>
          <w:tcPr>
            <w:tcW w:w="2010" w:type="pct"/>
            <w:tcBorders>
              <w:top w:val="nil"/>
              <w:left w:val="nil"/>
              <w:bottom w:val="nil"/>
              <w:right w:val="nil"/>
            </w:tcBorders>
          </w:tcPr>
          <w:p w14:paraId="4EBA4F6F" w14:textId="27AAA300" w:rsidR="005C2A21" w:rsidRPr="004D4906" w:rsidRDefault="008D4FA4" w:rsidP="004D4906">
            <w:pPr>
              <w:widowControl w:val="0"/>
              <w:rPr>
                <w:rFonts w:ascii="Arial" w:hAnsi="Arial" w:cs="Arial"/>
                <w:i/>
                <w:iCs/>
                <w:sz w:val="20"/>
                <w:szCs w:val="20"/>
              </w:rPr>
            </w:pPr>
            <w:r w:rsidRPr="004D4906">
              <w:rPr>
                <w:rFonts w:ascii="Arial" w:hAnsi="Arial" w:cs="Arial"/>
                <w:i/>
                <w:iCs/>
                <w:sz w:val="20"/>
                <w:szCs w:val="20"/>
              </w:rPr>
              <w:t xml:space="preserve">Detailed </w:t>
            </w:r>
            <w:r w:rsidR="00B876D2" w:rsidRPr="004D4906">
              <w:rPr>
                <w:rFonts w:ascii="Arial" w:hAnsi="Arial" w:cs="Arial"/>
                <w:i/>
                <w:iCs/>
                <w:sz w:val="20"/>
                <w:szCs w:val="20"/>
              </w:rPr>
              <w:t xml:space="preserve">Pre and </w:t>
            </w:r>
            <w:r w:rsidRPr="004D4906">
              <w:rPr>
                <w:rFonts w:ascii="Arial" w:hAnsi="Arial" w:cs="Arial"/>
                <w:i/>
                <w:iCs/>
                <w:sz w:val="20"/>
                <w:szCs w:val="20"/>
              </w:rPr>
              <w:t xml:space="preserve">Post-Money </w:t>
            </w:r>
            <w:r w:rsidR="005C2A21" w:rsidRPr="004D4906">
              <w:rPr>
                <w:rFonts w:ascii="Arial" w:hAnsi="Arial" w:cs="Arial"/>
                <w:i/>
                <w:iCs/>
                <w:sz w:val="20"/>
                <w:szCs w:val="20"/>
              </w:rPr>
              <w:t>Capitalization Table</w:t>
            </w:r>
          </w:p>
        </w:tc>
        <w:tc>
          <w:tcPr>
            <w:tcW w:w="2990" w:type="pct"/>
            <w:tcBorders>
              <w:top w:val="nil"/>
              <w:left w:val="nil"/>
              <w:bottom w:val="nil"/>
              <w:right w:val="nil"/>
            </w:tcBorders>
            <w:shd w:val="clear" w:color="auto" w:fill="FFFFFF"/>
          </w:tcPr>
          <w:p w14:paraId="1E9F13BC" w14:textId="77777777" w:rsidR="006C0960" w:rsidRDefault="007E7964" w:rsidP="004D4906">
            <w:pPr>
              <w:pStyle w:val="TableText"/>
              <w:widowControl w:val="0"/>
              <w:rPr>
                <w:rFonts w:ascii="Arial" w:hAnsi="Arial" w:cs="Arial"/>
                <w:bCs/>
                <w:sz w:val="20"/>
                <w:szCs w:val="20"/>
              </w:rPr>
            </w:pPr>
            <w:r w:rsidRPr="004D4906">
              <w:rPr>
                <w:rFonts w:ascii="Arial" w:hAnsi="Arial" w:cs="Arial"/>
                <w:sz w:val="20"/>
                <w:szCs w:val="20"/>
              </w:rPr>
              <w:t xml:space="preserve">Described in </w:t>
            </w:r>
            <w:r w:rsidR="005C2A21" w:rsidRPr="004D4906">
              <w:rPr>
                <w:rFonts w:ascii="Arial" w:hAnsi="Arial" w:cs="Arial"/>
                <w:b/>
                <w:bCs/>
                <w:sz w:val="20"/>
                <w:szCs w:val="20"/>
              </w:rPr>
              <w:t>Schedule C</w:t>
            </w:r>
            <w:r w:rsidR="00FD5875" w:rsidRPr="004D4906">
              <w:rPr>
                <w:rStyle w:val="FootnoteReference"/>
                <w:rFonts w:ascii="Arial" w:hAnsi="Arial" w:cs="Arial"/>
                <w:b/>
                <w:bCs/>
                <w:szCs w:val="20"/>
              </w:rPr>
              <w:footnoteReference w:id="5"/>
            </w:r>
            <w:r w:rsidR="007C7FB4" w:rsidRPr="004D4906">
              <w:rPr>
                <w:rFonts w:ascii="Arial" w:hAnsi="Arial" w:cs="Arial"/>
                <w:bCs/>
                <w:sz w:val="20"/>
                <w:szCs w:val="20"/>
              </w:rPr>
              <w:t>.</w:t>
            </w:r>
            <w:r w:rsidR="006C0960">
              <w:rPr>
                <w:rFonts w:ascii="Arial" w:hAnsi="Arial" w:cs="Arial"/>
                <w:bCs/>
                <w:sz w:val="20"/>
                <w:szCs w:val="20"/>
              </w:rPr>
              <w:t xml:space="preserve"> </w:t>
            </w:r>
          </w:p>
          <w:p w14:paraId="5C864078" w14:textId="5CD5CC42" w:rsidR="005C2A21" w:rsidRPr="004D4906" w:rsidRDefault="006C0960" w:rsidP="004D4906">
            <w:pPr>
              <w:pStyle w:val="TableText"/>
              <w:widowControl w:val="0"/>
              <w:rPr>
                <w:rFonts w:ascii="Arial" w:hAnsi="Arial" w:cs="Arial"/>
                <w:sz w:val="20"/>
                <w:szCs w:val="20"/>
              </w:rPr>
            </w:pPr>
            <w:r>
              <w:rPr>
                <w:rFonts w:ascii="Arial" w:hAnsi="Arial" w:cs="Arial"/>
                <w:bCs/>
                <w:sz w:val="20"/>
                <w:szCs w:val="20"/>
              </w:rPr>
              <w:t>“</w:t>
            </w:r>
            <w:r w:rsidRPr="006C0960">
              <w:rPr>
                <w:rFonts w:ascii="Arial" w:hAnsi="Arial" w:cs="Arial"/>
                <w:b/>
                <w:sz w:val="20"/>
                <w:szCs w:val="20"/>
              </w:rPr>
              <w:t>Shares</w:t>
            </w:r>
            <w:r>
              <w:rPr>
                <w:rFonts w:ascii="Arial" w:hAnsi="Arial" w:cs="Arial"/>
                <w:bCs/>
                <w:sz w:val="20"/>
                <w:szCs w:val="20"/>
              </w:rPr>
              <w:t xml:space="preserve">” means the issued shares in the capital of the </w:t>
            </w:r>
            <w:r w:rsidR="00D15BE7">
              <w:rPr>
                <w:rFonts w:ascii="Arial" w:hAnsi="Arial" w:cs="Arial"/>
                <w:bCs/>
                <w:sz w:val="20"/>
                <w:szCs w:val="20"/>
              </w:rPr>
              <w:t>C</w:t>
            </w:r>
            <w:r>
              <w:rPr>
                <w:rFonts w:ascii="Arial" w:hAnsi="Arial" w:cs="Arial"/>
                <w:bCs/>
                <w:sz w:val="20"/>
                <w:szCs w:val="20"/>
              </w:rPr>
              <w:t xml:space="preserve">ompany of any class. </w:t>
            </w:r>
          </w:p>
        </w:tc>
      </w:tr>
      <w:tr w:rsidR="00DD2457" w:rsidRPr="004D4906" w14:paraId="28671B3E" w14:textId="77777777" w:rsidTr="001D1564">
        <w:tc>
          <w:tcPr>
            <w:tcW w:w="2010" w:type="pct"/>
            <w:tcBorders>
              <w:top w:val="nil"/>
              <w:left w:val="nil"/>
              <w:bottom w:val="nil"/>
              <w:right w:val="nil"/>
            </w:tcBorders>
          </w:tcPr>
          <w:p w14:paraId="37A5C7E1" w14:textId="50FF612E" w:rsidR="00DD2457" w:rsidRPr="004D4906" w:rsidRDefault="00726502" w:rsidP="00456DA2">
            <w:pPr>
              <w:rPr>
                <w:rFonts w:ascii="Arial" w:hAnsi="Arial" w:cs="Arial"/>
                <w:i/>
                <w:iCs/>
                <w:sz w:val="20"/>
                <w:szCs w:val="20"/>
              </w:rPr>
            </w:pPr>
            <w:bookmarkStart w:id="31" w:name="_Pre-Money_Valuation:_1"/>
            <w:bookmarkStart w:id="32" w:name="Premoney"/>
            <w:bookmarkEnd w:id="31"/>
            <w:bookmarkEnd w:id="32"/>
            <w:r w:rsidRPr="004D4906">
              <w:rPr>
                <w:rFonts w:ascii="Arial" w:hAnsi="Arial" w:cs="Arial"/>
                <w:i/>
                <w:iCs/>
                <w:sz w:val="20"/>
                <w:szCs w:val="20"/>
              </w:rPr>
              <w:t>Pre-Money Valuation</w:t>
            </w:r>
            <w:r w:rsidR="00DD2457" w:rsidRPr="004D4906">
              <w:rPr>
                <w:rFonts w:ascii="Arial" w:hAnsi="Arial" w:cs="Arial"/>
                <w:i/>
                <w:iCs/>
                <w:sz w:val="20"/>
                <w:szCs w:val="20"/>
              </w:rPr>
              <w:t>:</w:t>
            </w:r>
          </w:p>
          <w:p w14:paraId="21D7DAA7" w14:textId="3120B67B" w:rsidR="0002776F" w:rsidRPr="004D4906" w:rsidRDefault="0002776F" w:rsidP="007650B7">
            <w:pPr>
              <w:rPr>
                <w:rFonts w:ascii="Arial" w:hAnsi="Arial" w:cs="Arial"/>
                <w:i/>
                <w:iCs/>
                <w:sz w:val="20"/>
                <w:szCs w:val="20"/>
              </w:rPr>
            </w:pPr>
          </w:p>
        </w:tc>
        <w:tc>
          <w:tcPr>
            <w:tcW w:w="2990" w:type="pct"/>
            <w:tcBorders>
              <w:top w:val="nil"/>
              <w:left w:val="nil"/>
              <w:bottom w:val="nil"/>
              <w:right w:val="nil"/>
            </w:tcBorders>
            <w:shd w:val="clear" w:color="auto" w:fill="FFFFFF"/>
          </w:tcPr>
          <w:p w14:paraId="1F5F6A7F" w14:textId="4240B53C" w:rsidR="00AF4282" w:rsidRPr="004D4906" w:rsidRDefault="00DD2457" w:rsidP="007650B7">
            <w:pPr>
              <w:pStyle w:val="TableText"/>
              <w:rPr>
                <w:rFonts w:ascii="Arial" w:hAnsi="Arial" w:cs="Arial"/>
                <w:b/>
                <w:bCs/>
                <w:sz w:val="20"/>
                <w:szCs w:val="20"/>
              </w:rPr>
            </w:pPr>
            <w:r w:rsidRPr="004D4906">
              <w:rPr>
                <w:rFonts w:ascii="Arial" w:hAnsi="Arial" w:cs="Arial"/>
                <w:sz w:val="20"/>
                <w:szCs w:val="20"/>
              </w:rPr>
              <w:t xml:space="preserve">The </w:t>
            </w:r>
            <w:r w:rsidR="00F4447A" w:rsidRPr="004D4906">
              <w:rPr>
                <w:rFonts w:ascii="Arial" w:hAnsi="Arial" w:cs="Arial"/>
                <w:sz w:val="20"/>
                <w:szCs w:val="20"/>
              </w:rPr>
              <w:t xml:space="preserve">Series A Share subscription </w:t>
            </w:r>
            <w:r w:rsidRPr="004D4906">
              <w:rPr>
                <w:rFonts w:ascii="Arial" w:hAnsi="Arial" w:cs="Arial"/>
                <w:sz w:val="20"/>
                <w:szCs w:val="20"/>
              </w:rPr>
              <w:t>price (the “</w:t>
            </w:r>
            <w:r w:rsidRPr="004D4906">
              <w:rPr>
                <w:rFonts w:ascii="Arial" w:hAnsi="Arial" w:cs="Arial"/>
                <w:b/>
                <w:bCs/>
                <w:sz w:val="20"/>
                <w:szCs w:val="20"/>
              </w:rPr>
              <w:t xml:space="preserve">Original </w:t>
            </w:r>
            <w:r w:rsidR="007C7FB4" w:rsidRPr="004D4906">
              <w:rPr>
                <w:rFonts w:ascii="Arial" w:hAnsi="Arial" w:cs="Arial"/>
                <w:b/>
                <w:bCs/>
                <w:sz w:val="20"/>
                <w:szCs w:val="20"/>
              </w:rPr>
              <w:t xml:space="preserve">Subscription </w:t>
            </w:r>
            <w:r w:rsidRPr="004D4906">
              <w:rPr>
                <w:rFonts w:ascii="Arial" w:hAnsi="Arial" w:cs="Arial"/>
                <w:b/>
                <w:bCs/>
                <w:sz w:val="20"/>
                <w:szCs w:val="20"/>
              </w:rPr>
              <w:t>Price</w:t>
            </w:r>
            <w:r w:rsidRPr="004D4906">
              <w:rPr>
                <w:rFonts w:ascii="Arial" w:hAnsi="Arial" w:cs="Arial"/>
                <w:sz w:val="20"/>
                <w:szCs w:val="20"/>
              </w:rPr>
              <w:t xml:space="preserve">”) shall be determined </w:t>
            </w:r>
            <w:r w:rsidR="00AF4282" w:rsidRPr="004D4906">
              <w:rPr>
                <w:rFonts w:ascii="Arial" w:hAnsi="Arial" w:cs="Arial"/>
                <w:sz w:val="20"/>
                <w:szCs w:val="20"/>
              </w:rPr>
              <w:t>based on a pre-money valuation of ZAR</w:t>
            </w:r>
            <w:r w:rsidR="000575E2" w:rsidRPr="000575E2">
              <w:rPr>
                <w:rFonts w:ascii="Arial" w:hAnsi="Arial" w:cs="Arial"/>
                <w:sz w:val="20"/>
                <w:szCs w:val="20"/>
              </w:rPr>
              <w:t xml:space="preserve">[●] </w:t>
            </w:r>
            <w:r w:rsidR="00AF4282" w:rsidRPr="004D4906">
              <w:rPr>
                <w:rFonts w:ascii="Arial" w:hAnsi="Arial" w:cs="Arial"/>
                <w:sz w:val="20"/>
                <w:szCs w:val="20"/>
              </w:rPr>
              <w:t xml:space="preserve">on a fully-diluted basis.  </w:t>
            </w:r>
          </w:p>
          <w:p w14:paraId="70EBFD73" w14:textId="068CE9F5" w:rsidR="009D470F" w:rsidRPr="004D4906" w:rsidRDefault="00AF4282" w:rsidP="00AF4282">
            <w:pPr>
              <w:pStyle w:val="TableText"/>
              <w:rPr>
                <w:rFonts w:ascii="Arial" w:hAnsi="Arial" w:cs="Arial"/>
                <w:sz w:val="20"/>
                <w:szCs w:val="20"/>
              </w:rPr>
            </w:pPr>
            <w:r w:rsidRPr="004D4906">
              <w:rPr>
                <w:rFonts w:ascii="Arial" w:hAnsi="Arial" w:cs="Arial"/>
                <w:sz w:val="20"/>
                <w:szCs w:val="20"/>
              </w:rPr>
              <w:t xml:space="preserve">[For purposes of this valuation, the fully-diluted capital includes an unallocated employee option pool of </w:t>
            </w:r>
            <w:r w:rsidR="000B7437" w:rsidRPr="000B7437">
              <w:rPr>
                <w:rFonts w:ascii="Arial" w:hAnsi="Arial" w:cs="Arial"/>
                <w:sz w:val="20"/>
                <w:szCs w:val="20"/>
              </w:rPr>
              <w:t>[●]</w:t>
            </w:r>
            <w:r w:rsidRPr="004D4906">
              <w:rPr>
                <w:rFonts w:ascii="Arial" w:hAnsi="Arial" w:cs="Arial"/>
                <w:sz w:val="20"/>
                <w:szCs w:val="20"/>
              </w:rPr>
              <w:t>% of the post-closing share capital.]</w:t>
            </w:r>
          </w:p>
        </w:tc>
      </w:tr>
      <w:tr w:rsidR="007650B7" w:rsidRPr="004D4906" w14:paraId="0E6B1A79" w14:textId="77777777" w:rsidTr="0002776F">
        <w:tc>
          <w:tcPr>
            <w:tcW w:w="2010" w:type="pct"/>
            <w:tcBorders>
              <w:top w:val="nil"/>
              <w:left w:val="nil"/>
              <w:bottom w:val="nil"/>
              <w:right w:val="nil"/>
            </w:tcBorders>
          </w:tcPr>
          <w:p w14:paraId="072F2E2A" w14:textId="3CC4D36E" w:rsidR="007650B7" w:rsidRPr="004D4906" w:rsidRDefault="007650B7" w:rsidP="00456DA2">
            <w:pPr>
              <w:rPr>
                <w:rFonts w:ascii="Arial" w:hAnsi="Arial" w:cs="Arial"/>
                <w:i/>
                <w:iCs/>
                <w:sz w:val="20"/>
                <w:szCs w:val="20"/>
              </w:rPr>
            </w:pPr>
            <w:r w:rsidRPr="004D4906">
              <w:rPr>
                <w:rFonts w:ascii="Arial" w:hAnsi="Arial" w:cs="Arial"/>
                <w:i/>
                <w:iCs/>
                <w:sz w:val="20"/>
                <w:szCs w:val="20"/>
              </w:rPr>
              <w:t>Representations and Warranties, Indemnities and Limitations of Liability</w:t>
            </w:r>
          </w:p>
        </w:tc>
        <w:tc>
          <w:tcPr>
            <w:tcW w:w="2990" w:type="pct"/>
            <w:tcBorders>
              <w:top w:val="nil"/>
              <w:left w:val="nil"/>
              <w:bottom w:val="nil"/>
              <w:right w:val="nil"/>
            </w:tcBorders>
            <w:shd w:val="clear" w:color="auto" w:fill="FFFFFF"/>
          </w:tcPr>
          <w:p w14:paraId="380AB915" w14:textId="12D32BA1" w:rsidR="007650B7" w:rsidRPr="004D4906" w:rsidRDefault="007650B7" w:rsidP="00FD57EE">
            <w:pPr>
              <w:pStyle w:val="TableText"/>
              <w:rPr>
                <w:rFonts w:ascii="Arial" w:hAnsi="Arial" w:cs="Arial"/>
                <w:sz w:val="20"/>
                <w:szCs w:val="20"/>
              </w:rPr>
            </w:pPr>
            <w:r w:rsidRPr="004D4906">
              <w:rPr>
                <w:rFonts w:ascii="Arial" w:hAnsi="Arial" w:cs="Arial"/>
                <w:sz w:val="20"/>
                <w:szCs w:val="20"/>
              </w:rPr>
              <w:t xml:space="preserve">The Company shall provide to the Investors representations and warranties customary for a </w:t>
            </w:r>
            <w:r w:rsidR="00AC25D1" w:rsidRPr="004D4906">
              <w:rPr>
                <w:rFonts w:ascii="Arial" w:hAnsi="Arial" w:cs="Arial"/>
                <w:sz w:val="20"/>
                <w:szCs w:val="20"/>
              </w:rPr>
              <w:t>Company</w:t>
            </w:r>
            <w:r w:rsidRPr="004D4906">
              <w:rPr>
                <w:rFonts w:ascii="Arial" w:hAnsi="Arial" w:cs="Arial"/>
                <w:sz w:val="20"/>
                <w:szCs w:val="20"/>
              </w:rPr>
              <w:t xml:space="preserve"> of its size and industry. </w:t>
            </w:r>
            <w:r w:rsidRPr="004D4906">
              <w:rPr>
                <w:rFonts w:ascii="Arial" w:hAnsi="Arial" w:cs="Arial"/>
                <w:i/>
                <w:iCs/>
                <w:sz w:val="20"/>
                <w:szCs w:val="20"/>
              </w:rPr>
              <w:t>The Company shall indemnify the Investors against any losses arising from a breach of such representations, warranties, subject to customary exclusions. The aggregate liability of the Company in respect of all claims under or in connection with such representations, warranties, and indemnities shall be limited to the aggregate subscription price paid by the Investor</w:t>
            </w:r>
            <w:r w:rsidR="00A366C0" w:rsidRPr="004D4906">
              <w:rPr>
                <w:rFonts w:ascii="Arial" w:hAnsi="Arial" w:cs="Arial"/>
                <w:i/>
                <w:iCs/>
                <w:sz w:val="20"/>
                <w:szCs w:val="20"/>
              </w:rPr>
              <w:t>/</w:t>
            </w:r>
            <w:r w:rsidRPr="004D4906">
              <w:rPr>
                <w:rFonts w:ascii="Arial" w:hAnsi="Arial" w:cs="Arial"/>
                <w:i/>
                <w:iCs/>
                <w:sz w:val="20"/>
                <w:szCs w:val="20"/>
              </w:rPr>
              <w:t xml:space="preserve">s for their shares, provided that no </w:t>
            </w:r>
            <w:r w:rsidRPr="004D4906">
              <w:rPr>
                <w:rFonts w:ascii="Arial" w:hAnsi="Arial" w:cs="Arial"/>
                <w:i/>
                <w:iCs/>
                <w:sz w:val="20"/>
                <w:szCs w:val="20"/>
              </w:rPr>
              <w:lastRenderedPageBreak/>
              <w:t>such limitation shall apply in the case of fraud</w:t>
            </w:r>
            <w:r w:rsidR="005A06BA" w:rsidRPr="004D4906">
              <w:rPr>
                <w:rFonts w:ascii="Arial" w:hAnsi="Arial" w:cs="Arial"/>
                <w:i/>
                <w:iCs/>
                <w:sz w:val="20"/>
                <w:szCs w:val="20"/>
              </w:rPr>
              <w:t>, gross negligence</w:t>
            </w:r>
            <w:r w:rsidRPr="004D4906">
              <w:rPr>
                <w:rFonts w:ascii="Arial" w:hAnsi="Arial" w:cs="Arial"/>
                <w:i/>
                <w:iCs/>
                <w:sz w:val="20"/>
                <w:szCs w:val="20"/>
              </w:rPr>
              <w:t xml:space="preserve"> or wi</w:t>
            </w:r>
            <w:r w:rsidR="00D5180D" w:rsidRPr="004D4906">
              <w:rPr>
                <w:rFonts w:ascii="Arial" w:hAnsi="Arial" w:cs="Arial"/>
                <w:i/>
                <w:iCs/>
                <w:sz w:val="20"/>
                <w:szCs w:val="20"/>
              </w:rPr>
              <w:t>l</w:t>
            </w:r>
            <w:r w:rsidRPr="004D4906">
              <w:rPr>
                <w:rFonts w:ascii="Arial" w:hAnsi="Arial" w:cs="Arial"/>
                <w:i/>
                <w:iCs/>
                <w:sz w:val="20"/>
                <w:szCs w:val="20"/>
              </w:rPr>
              <w:t xml:space="preserve">lful </w:t>
            </w:r>
            <w:commentRangeStart w:id="33"/>
            <w:r w:rsidRPr="004D4906">
              <w:rPr>
                <w:rFonts w:ascii="Arial" w:hAnsi="Arial" w:cs="Arial"/>
                <w:i/>
                <w:iCs/>
                <w:sz w:val="20"/>
                <w:szCs w:val="20"/>
              </w:rPr>
              <w:t>misconduct</w:t>
            </w:r>
            <w:commentRangeEnd w:id="33"/>
            <w:r w:rsidR="00DA017F" w:rsidRPr="004D4906">
              <w:rPr>
                <w:rStyle w:val="CommentReference"/>
                <w:rFonts w:ascii="Arial" w:hAnsi="Arial" w:cs="Arial"/>
                <w:i/>
                <w:iCs/>
                <w:sz w:val="20"/>
                <w:szCs w:val="20"/>
              </w:rPr>
              <w:commentReference w:id="33"/>
            </w:r>
            <w:r w:rsidRPr="004D4906">
              <w:rPr>
                <w:rFonts w:ascii="Arial" w:hAnsi="Arial" w:cs="Arial"/>
                <w:i/>
                <w:iCs/>
                <w:sz w:val="20"/>
                <w:szCs w:val="20"/>
              </w:rPr>
              <w:t>.</w:t>
            </w:r>
          </w:p>
        </w:tc>
      </w:tr>
      <w:tr w:rsidR="001D1564" w:rsidRPr="004D4906" w14:paraId="3CF61002" w14:textId="77777777" w:rsidTr="0002776F">
        <w:tc>
          <w:tcPr>
            <w:tcW w:w="2010" w:type="pct"/>
            <w:tcBorders>
              <w:top w:val="nil"/>
              <w:left w:val="nil"/>
              <w:bottom w:val="nil"/>
              <w:right w:val="nil"/>
            </w:tcBorders>
          </w:tcPr>
          <w:p w14:paraId="5E74EBF8" w14:textId="0301201B" w:rsidR="001D1564" w:rsidRPr="004D4906" w:rsidRDefault="001D1564" w:rsidP="001D1564">
            <w:pPr>
              <w:rPr>
                <w:rFonts w:ascii="Arial" w:hAnsi="Arial" w:cs="Arial"/>
                <w:i/>
                <w:iCs/>
                <w:sz w:val="20"/>
                <w:szCs w:val="20"/>
              </w:rPr>
            </w:pPr>
            <w:r w:rsidRPr="004D4906">
              <w:rPr>
                <w:rFonts w:ascii="Arial" w:hAnsi="Arial" w:cs="Arial"/>
                <w:i/>
                <w:iCs/>
                <w:sz w:val="20"/>
                <w:szCs w:val="20"/>
              </w:rPr>
              <w:lastRenderedPageBreak/>
              <w:t xml:space="preserve">Conditions </w:t>
            </w:r>
            <w:r w:rsidR="0073397E" w:rsidRPr="004D4906">
              <w:rPr>
                <w:rFonts w:ascii="Arial" w:hAnsi="Arial" w:cs="Arial"/>
                <w:i/>
                <w:iCs/>
                <w:sz w:val="20"/>
                <w:szCs w:val="20"/>
              </w:rPr>
              <w:t>to closing</w:t>
            </w:r>
            <w:r w:rsidRPr="004D4906">
              <w:rPr>
                <w:rFonts w:ascii="Arial" w:hAnsi="Arial" w:cs="Arial"/>
                <w:sz w:val="20"/>
                <w:szCs w:val="20"/>
              </w:rPr>
              <w:t>:</w:t>
            </w:r>
          </w:p>
        </w:tc>
        <w:tc>
          <w:tcPr>
            <w:tcW w:w="2990" w:type="pct"/>
            <w:tcBorders>
              <w:top w:val="nil"/>
              <w:left w:val="nil"/>
              <w:bottom w:val="nil"/>
              <w:right w:val="nil"/>
            </w:tcBorders>
            <w:shd w:val="clear" w:color="auto" w:fill="FFFFFF"/>
          </w:tcPr>
          <w:p w14:paraId="468D7CB5" w14:textId="382A94AC" w:rsidR="001D1564" w:rsidRPr="004D4906" w:rsidRDefault="006B2802" w:rsidP="001D1564">
            <w:pPr>
              <w:pStyle w:val="TableText"/>
              <w:rPr>
                <w:rFonts w:ascii="Arial" w:hAnsi="Arial" w:cs="Arial"/>
                <w:sz w:val="20"/>
                <w:szCs w:val="20"/>
              </w:rPr>
            </w:pPr>
            <w:r w:rsidRPr="004D4906">
              <w:rPr>
                <w:rFonts w:ascii="Arial" w:hAnsi="Arial" w:cs="Arial"/>
                <w:sz w:val="20"/>
                <w:szCs w:val="20"/>
              </w:rPr>
              <w:t xml:space="preserve">The </w:t>
            </w:r>
            <w:r w:rsidR="001D1564" w:rsidRPr="004D4906">
              <w:rPr>
                <w:rFonts w:ascii="Arial" w:hAnsi="Arial" w:cs="Arial"/>
                <w:sz w:val="20"/>
                <w:szCs w:val="20"/>
              </w:rPr>
              <w:t>conditions to Closing (</w:t>
            </w:r>
            <w:r w:rsidRPr="004D4906">
              <w:rPr>
                <w:rFonts w:ascii="Arial" w:hAnsi="Arial" w:cs="Arial"/>
                <w:sz w:val="20"/>
                <w:szCs w:val="20"/>
              </w:rPr>
              <w:t xml:space="preserve">sometimes referred to conditions precedent or suspensive conditions) are </w:t>
            </w:r>
            <w:r w:rsidR="001D1564" w:rsidRPr="004D4906">
              <w:rPr>
                <w:rFonts w:ascii="Arial" w:hAnsi="Arial" w:cs="Arial"/>
                <w:sz w:val="20"/>
                <w:szCs w:val="20"/>
              </w:rPr>
              <w:t xml:space="preserve">described under </w:t>
            </w:r>
            <w:r w:rsidR="001D1564" w:rsidRPr="004D4906">
              <w:rPr>
                <w:rFonts w:ascii="Arial" w:hAnsi="Arial" w:cs="Arial"/>
                <w:b/>
                <w:bCs/>
                <w:sz w:val="20"/>
                <w:szCs w:val="20"/>
              </w:rPr>
              <w:t>Schedule D</w:t>
            </w:r>
            <w:r w:rsidR="00745410" w:rsidRPr="004D4906">
              <w:rPr>
                <w:rFonts w:ascii="Arial" w:hAnsi="Arial" w:cs="Arial"/>
                <w:b/>
                <w:bCs/>
                <w:sz w:val="20"/>
                <w:szCs w:val="20"/>
              </w:rPr>
              <w:t xml:space="preserve">.  </w:t>
            </w:r>
            <w:r w:rsidR="00745410" w:rsidRPr="004D4906">
              <w:rPr>
                <w:rFonts w:ascii="Arial" w:hAnsi="Arial" w:cs="Arial"/>
                <w:sz w:val="20"/>
                <w:szCs w:val="20"/>
              </w:rPr>
              <w:t>These may include</w:t>
            </w:r>
            <w:r w:rsidR="001D1564" w:rsidRPr="004D4906">
              <w:rPr>
                <w:rFonts w:ascii="Arial" w:hAnsi="Arial" w:cs="Arial"/>
                <w:sz w:val="20"/>
                <w:szCs w:val="20"/>
              </w:rPr>
              <w:t>, among other things, satisfactory completion of financial and legal due diligence, including additional items identified prior to Closing</w:t>
            </w:r>
            <w:r w:rsidR="00085B60" w:rsidRPr="004D4906">
              <w:rPr>
                <w:rFonts w:ascii="Arial" w:hAnsi="Arial" w:cs="Arial"/>
                <w:sz w:val="20"/>
                <w:szCs w:val="20"/>
              </w:rPr>
              <w:t xml:space="preserve"> and described in the Subscription Agreement</w:t>
            </w:r>
            <w:r w:rsidR="001D1564" w:rsidRPr="004D4906">
              <w:rPr>
                <w:rFonts w:ascii="Arial" w:hAnsi="Arial" w:cs="Arial"/>
                <w:sz w:val="20"/>
                <w:szCs w:val="20"/>
              </w:rPr>
              <w:t>.</w:t>
            </w:r>
          </w:p>
        </w:tc>
      </w:tr>
      <w:tr w:rsidR="0037430F" w:rsidRPr="004D4906" w14:paraId="6FB2A47E" w14:textId="77777777" w:rsidTr="001D1564">
        <w:tc>
          <w:tcPr>
            <w:tcW w:w="2010" w:type="pct"/>
            <w:tcBorders>
              <w:top w:val="nil"/>
              <w:left w:val="nil"/>
              <w:bottom w:val="nil"/>
              <w:right w:val="nil"/>
            </w:tcBorders>
          </w:tcPr>
          <w:p w14:paraId="7D912DE9" w14:textId="13C508FA" w:rsidR="009D470F" w:rsidRPr="004D4906" w:rsidRDefault="00F36F25" w:rsidP="006E36E7">
            <w:pPr>
              <w:rPr>
                <w:rFonts w:ascii="Arial" w:hAnsi="Arial" w:cs="Arial"/>
                <w:i/>
                <w:iCs/>
                <w:sz w:val="20"/>
                <w:szCs w:val="20"/>
              </w:rPr>
            </w:pPr>
            <w:commentRangeStart w:id="34"/>
            <w:r w:rsidRPr="004D4906">
              <w:rPr>
                <w:rFonts w:ascii="Arial" w:hAnsi="Arial" w:cs="Arial"/>
                <w:i/>
                <w:iCs/>
                <w:sz w:val="20"/>
                <w:szCs w:val="20"/>
              </w:rPr>
              <w:t xml:space="preserve">Employee </w:t>
            </w:r>
            <w:commentRangeEnd w:id="34"/>
            <w:r w:rsidR="00DA017F" w:rsidRPr="004D4906">
              <w:rPr>
                <w:rStyle w:val="CommentReference"/>
                <w:rFonts w:ascii="Arial" w:hAnsi="Arial" w:cs="Arial"/>
                <w:i/>
                <w:iCs/>
                <w:sz w:val="20"/>
                <w:szCs w:val="20"/>
              </w:rPr>
              <w:commentReference w:id="34"/>
            </w:r>
            <w:r w:rsidRPr="004D4906">
              <w:rPr>
                <w:rFonts w:ascii="Arial" w:hAnsi="Arial" w:cs="Arial"/>
                <w:i/>
                <w:iCs/>
                <w:sz w:val="20"/>
                <w:szCs w:val="20"/>
              </w:rPr>
              <w:t>Share Ownership Plan (</w:t>
            </w:r>
            <w:r w:rsidR="009D470F" w:rsidRPr="004D4906">
              <w:rPr>
                <w:rFonts w:ascii="Arial" w:hAnsi="Arial" w:cs="Arial"/>
                <w:i/>
                <w:iCs/>
                <w:sz w:val="20"/>
                <w:szCs w:val="20"/>
              </w:rPr>
              <w:t>ESOP</w:t>
            </w:r>
            <w:r w:rsidRPr="004D4906">
              <w:rPr>
                <w:rFonts w:ascii="Arial" w:hAnsi="Arial" w:cs="Arial"/>
                <w:i/>
                <w:iCs/>
                <w:sz w:val="20"/>
                <w:szCs w:val="20"/>
              </w:rPr>
              <w:t>)</w:t>
            </w:r>
            <w:r w:rsidR="009D470F" w:rsidRPr="004D4906">
              <w:rPr>
                <w:rFonts w:ascii="Arial" w:hAnsi="Arial" w:cs="Arial"/>
                <w:i/>
                <w:iCs/>
                <w:sz w:val="20"/>
                <w:szCs w:val="20"/>
              </w:rPr>
              <w:t>:</w:t>
            </w:r>
            <w:r w:rsidR="006F48F1">
              <w:rPr>
                <w:rStyle w:val="FootnoteReference"/>
                <w:rFonts w:cs="Arial"/>
                <w:i/>
                <w:iCs/>
                <w:szCs w:val="20"/>
              </w:rPr>
              <w:footnoteReference w:id="6"/>
            </w:r>
          </w:p>
        </w:tc>
        <w:tc>
          <w:tcPr>
            <w:tcW w:w="2990" w:type="pct"/>
            <w:tcBorders>
              <w:top w:val="nil"/>
              <w:left w:val="nil"/>
              <w:bottom w:val="nil"/>
              <w:right w:val="nil"/>
            </w:tcBorders>
            <w:shd w:val="clear" w:color="auto" w:fill="FFFFFF"/>
          </w:tcPr>
          <w:p w14:paraId="51A02FE8" w14:textId="56E0E30F" w:rsidR="009D470F" w:rsidRDefault="00F6758C" w:rsidP="006E36E7">
            <w:pPr>
              <w:pStyle w:val="TableText"/>
              <w:rPr>
                <w:rFonts w:ascii="Arial" w:hAnsi="Arial" w:cs="Arial"/>
                <w:sz w:val="20"/>
                <w:szCs w:val="20"/>
              </w:rPr>
            </w:pPr>
            <w:r>
              <w:rPr>
                <w:rFonts w:ascii="Arial" w:hAnsi="Arial" w:cs="Arial"/>
                <w:sz w:val="20"/>
                <w:szCs w:val="20"/>
              </w:rPr>
              <w:t xml:space="preserve">ESOP: </w:t>
            </w:r>
            <w:r w:rsidR="00745410" w:rsidRPr="004D4906">
              <w:rPr>
                <w:rFonts w:ascii="Arial" w:hAnsi="Arial" w:cs="Arial"/>
                <w:sz w:val="20"/>
                <w:szCs w:val="20"/>
              </w:rPr>
              <w:t>[</w:t>
            </w:r>
            <w:r w:rsidR="009D470F" w:rsidRPr="004D4906">
              <w:rPr>
                <w:rFonts w:ascii="Arial" w:hAnsi="Arial" w:cs="Arial"/>
                <w:sz w:val="20"/>
                <w:szCs w:val="20"/>
              </w:rPr>
              <w:t xml:space="preserve">As a condition to </w:t>
            </w:r>
            <w:r w:rsidR="007C7FB4" w:rsidRPr="004D4906">
              <w:rPr>
                <w:rFonts w:ascii="Arial" w:hAnsi="Arial" w:cs="Arial"/>
                <w:sz w:val="20"/>
                <w:szCs w:val="20"/>
              </w:rPr>
              <w:t>C</w:t>
            </w:r>
            <w:r w:rsidR="009D470F" w:rsidRPr="004D4906">
              <w:rPr>
                <w:rFonts w:ascii="Arial" w:hAnsi="Arial" w:cs="Arial"/>
                <w:sz w:val="20"/>
                <w:szCs w:val="20"/>
              </w:rPr>
              <w:t>losing/ post</w:t>
            </w:r>
            <w:r w:rsidR="007C7FB4" w:rsidRPr="004D4906">
              <w:rPr>
                <w:rFonts w:ascii="Arial" w:hAnsi="Arial" w:cs="Arial"/>
                <w:sz w:val="20"/>
                <w:szCs w:val="20"/>
              </w:rPr>
              <w:t>-</w:t>
            </w:r>
            <w:r w:rsidR="009D470F" w:rsidRPr="004D4906">
              <w:rPr>
                <w:rFonts w:ascii="Arial" w:hAnsi="Arial" w:cs="Arial"/>
                <w:sz w:val="20"/>
                <w:szCs w:val="20"/>
              </w:rPr>
              <w:t xml:space="preserve"> </w:t>
            </w:r>
            <w:r w:rsidR="007C7FB4" w:rsidRPr="004D4906">
              <w:rPr>
                <w:rFonts w:ascii="Arial" w:hAnsi="Arial" w:cs="Arial"/>
                <w:sz w:val="20"/>
                <w:szCs w:val="20"/>
              </w:rPr>
              <w:t xml:space="preserve">Closing </w:t>
            </w:r>
            <w:r w:rsidR="009D470F" w:rsidRPr="004D4906">
              <w:rPr>
                <w:rFonts w:ascii="Arial" w:hAnsi="Arial" w:cs="Arial"/>
                <w:sz w:val="20"/>
                <w:szCs w:val="20"/>
              </w:rPr>
              <w:t>obligation</w:t>
            </w:r>
            <w:r w:rsidR="00F3055F" w:rsidRPr="004D4906">
              <w:rPr>
                <w:rFonts w:ascii="Arial" w:hAnsi="Arial" w:cs="Arial"/>
                <w:sz w:val="20"/>
                <w:szCs w:val="20"/>
              </w:rPr>
              <w:t>]</w:t>
            </w:r>
            <w:r w:rsidR="00D15BE7">
              <w:rPr>
                <w:rFonts w:ascii="Arial" w:hAnsi="Arial" w:cs="Arial"/>
                <w:sz w:val="20"/>
                <w:szCs w:val="20"/>
              </w:rPr>
              <w:t xml:space="preserve"> </w:t>
            </w:r>
            <w:r w:rsidR="00745410" w:rsidRPr="004D4906">
              <w:rPr>
                <w:rFonts w:ascii="Arial" w:hAnsi="Arial" w:cs="Arial"/>
                <w:sz w:val="20"/>
                <w:szCs w:val="20"/>
              </w:rPr>
              <w:t>T</w:t>
            </w:r>
            <w:r w:rsidR="009D470F" w:rsidRPr="004D4906">
              <w:rPr>
                <w:rFonts w:ascii="Arial" w:hAnsi="Arial" w:cs="Arial"/>
                <w:sz w:val="20"/>
                <w:szCs w:val="20"/>
              </w:rPr>
              <w:t xml:space="preserve">he Company will establish an employee </w:t>
            </w:r>
            <w:r w:rsidR="00F3055F" w:rsidRPr="004D4906">
              <w:rPr>
                <w:rFonts w:ascii="Arial" w:hAnsi="Arial" w:cs="Arial"/>
                <w:sz w:val="20"/>
                <w:szCs w:val="20"/>
              </w:rPr>
              <w:t>share</w:t>
            </w:r>
            <w:r w:rsidR="009D470F" w:rsidRPr="004D4906">
              <w:rPr>
                <w:rFonts w:ascii="Arial" w:hAnsi="Arial" w:cs="Arial"/>
                <w:sz w:val="20"/>
                <w:szCs w:val="20"/>
              </w:rPr>
              <w:t xml:space="preserve"> ownership plan on terms acceptable to the Preference Shareholders.</w:t>
            </w:r>
            <w:r w:rsidR="00F36F25" w:rsidRPr="004D4906">
              <w:rPr>
                <w:rFonts w:ascii="Arial" w:hAnsi="Arial" w:cs="Arial"/>
                <w:sz w:val="20"/>
                <w:szCs w:val="20"/>
              </w:rPr>
              <w:t xml:space="preserve"> A pool of [Ordinary Shares/Employee Shares] representing </w:t>
            </w:r>
            <w:r w:rsidR="000B7437" w:rsidRPr="000B7437">
              <w:rPr>
                <w:rFonts w:ascii="Arial" w:hAnsi="Arial" w:cs="Arial"/>
                <w:sz w:val="20"/>
                <w:szCs w:val="20"/>
              </w:rPr>
              <w:t>[●]</w:t>
            </w:r>
            <w:r w:rsidR="00F36F25" w:rsidRPr="004D4906">
              <w:rPr>
                <w:rFonts w:ascii="Arial" w:hAnsi="Arial" w:cs="Arial"/>
                <w:sz w:val="20"/>
                <w:szCs w:val="20"/>
              </w:rPr>
              <w:t xml:space="preserve">% of the Fully Diluted post-money </w:t>
            </w:r>
            <w:r w:rsidR="00AC25D1" w:rsidRPr="004D4906">
              <w:rPr>
                <w:rFonts w:ascii="Arial" w:hAnsi="Arial" w:cs="Arial"/>
                <w:sz w:val="20"/>
                <w:szCs w:val="20"/>
              </w:rPr>
              <w:t xml:space="preserve">share </w:t>
            </w:r>
            <w:r w:rsidR="00F36F25" w:rsidRPr="004D4906">
              <w:rPr>
                <w:rFonts w:ascii="Arial" w:hAnsi="Arial" w:cs="Arial"/>
                <w:sz w:val="20"/>
                <w:szCs w:val="20"/>
              </w:rPr>
              <w:t>capital will be authorized and designated as shares available to the ESOP</w:t>
            </w:r>
            <w:r w:rsidR="009D470F" w:rsidRPr="004D4906">
              <w:rPr>
                <w:rFonts w:ascii="Arial" w:hAnsi="Arial" w:cs="Arial"/>
                <w:sz w:val="20"/>
                <w:szCs w:val="20"/>
              </w:rPr>
              <w:t>. Options issued to employees, directors or consultants will be subject to [four-year] vesting, with [25%] vesting on the first anniversary of the commencement of services and the remainder vesting monthly thereafter.</w:t>
            </w:r>
          </w:p>
          <w:p w14:paraId="68ABA860" w14:textId="4B0E1A8D" w:rsidR="00F6758C" w:rsidRDefault="00F6758C" w:rsidP="00F6758C">
            <w:pPr>
              <w:pStyle w:val="TableText"/>
              <w:rPr>
                <w:rFonts w:ascii="Arial" w:hAnsi="Arial" w:cs="Arial"/>
                <w:sz w:val="20"/>
                <w:szCs w:val="20"/>
              </w:rPr>
            </w:pPr>
            <w:r>
              <w:rPr>
                <w:rFonts w:ascii="Arial" w:hAnsi="Arial" w:cs="Arial"/>
                <w:sz w:val="20"/>
                <w:szCs w:val="20"/>
              </w:rPr>
              <w:t xml:space="preserve">Phantom Share Scheme: </w:t>
            </w:r>
            <w:r w:rsidRPr="004D4906">
              <w:rPr>
                <w:rFonts w:ascii="Arial" w:hAnsi="Arial" w:cs="Arial"/>
                <w:sz w:val="20"/>
                <w:szCs w:val="20"/>
              </w:rPr>
              <w:t>[As a condition to Closing/ post- Closing obligation]</w:t>
            </w:r>
            <w:r>
              <w:rPr>
                <w:rFonts w:ascii="Arial" w:hAnsi="Arial" w:cs="Arial"/>
                <w:sz w:val="20"/>
                <w:szCs w:val="20"/>
              </w:rPr>
              <w:t xml:space="preserve"> </w:t>
            </w:r>
            <w:r w:rsidRPr="004D4906">
              <w:rPr>
                <w:rFonts w:ascii="Arial" w:hAnsi="Arial" w:cs="Arial"/>
                <w:sz w:val="20"/>
                <w:szCs w:val="20"/>
              </w:rPr>
              <w:t xml:space="preserve">The Company will establish </w:t>
            </w:r>
            <w:r w:rsidR="00A166F4">
              <w:rPr>
                <w:rFonts w:ascii="Arial" w:hAnsi="Arial" w:cs="Arial"/>
                <w:sz w:val="20"/>
                <w:szCs w:val="20"/>
              </w:rPr>
              <w:t xml:space="preserve">a </w:t>
            </w:r>
            <w:r>
              <w:rPr>
                <w:rFonts w:ascii="Arial" w:hAnsi="Arial" w:cs="Arial"/>
                <w:sz w:val="20"/>
                <w:szCs w:val="20"/>
              </w:rPr>
              <w:t xml:space="preserve">phantom </w:t>
            </w:r>
            <w:r w:rsidRPr="004D4906">
              <w:rPr>
                <w:rFonts w:ascii="Arial" w:hAnsi="Arial" w:cs="Arial"/>
                <w:sz w:val="20"/>
                <w:szCs w:val="20"/>
              </w:rPr>
              <w:t xml:space="preserve">share </w:t>
            </w:r>
            <w:r>
              <w:rPr>
                <w:rFonts w:ascii="Arial" w:hAnsi="Arial" w:cs="Arial"/>
                <w:sz w:val="20"/>
                <w:szCs w:val="20"/>
              </w:rPr>
              <w:t xml:space="preserve">scheme </w:t>
            </w:r>
            <w:r w:rsidRPr="004D4906">
              <w:rPr>
                <w:rFonts w:ascii="Arial" w:hAnsi="Arial" w:cs="Arial"/>
                <w:sz w:val="20"/>
                <w:szCs w:val="20"/>
              </w:rPr>
              <w:t xml:space="preserve">on terms acceptable to the Preference Shareholders. </w:t>
            </w:r>
            <w:r>
              <w:rPr>
                <w:rFonts w:ascii="Arial" w:hAnsi="Arial" w:cs="Arial"/>
                <w:sz w:val="20"/>
                <w:szCs w:val="20"/>
              </w:rPr>
              <w:t xml:space="preserve">The Scheme will </w:t>
            </w:r>
            <w:r w:rsidR="00A166F4">
              <w:rPr>
                <w:rFonts w:ascii="Arial" w:hAnsi="Arial" w:cs="Arial"/>
                <w:sz w:val="20"/>
                <w:szCs w:val="20"/>
              </w:rPr>
              <w:t xml:space="preserve">represent </w:t>
            </w:r>
            <w:r>
              <w:rPr>
                <w:rFonts w:ascii="Arial" w:hAnsi="Arial" w:cs="Arial"/>
                <w:sz w:val="20"/>
                <w:szCs w:val="20"/>
              </w:rPr>
              <w:t>the financial benefit of a</w:t>
            </w:r>
            <w:r w:rsidRPr="004D4906">
              <w:rPr>
                <w:rFonts w:ascii="Arial" w:hAnsi="Arial" w:cs="Arial"/>
                <w:sz w:val="20"/>
                <w:szCs w:val="20"/>
              </w:rPr>
              <w:t xml:space="preserve"> pool of </w:t>
            </w:r>
            <w:r w:rsidR="00A166F4">
              <w:rPr>
                <w:rFonts w:ascii="Arial" w:hAnsi="Arial" w:cs="Arial"/>
                <w:sz w:val="20"/>
                <w:szCs w:val="20"/>
              </w:rPr>
              <w:t xml:space="preserve">notional </w:t>
            </w:r>
            <w:r>
              <w:rPr>
                <w:rFonts w:ascii="Arial" w:hAnsi="Arial" w:cs="Arial"/>
                <w:sz w:val="20"/>
                <w:szCs w:val="20"/>
              </w:rPr>
              <w:t xml:space="preserve">Shares </w:t>
            </w:r>
            <w:r w:rsidRPr="004D4906">
              <w:rPr>
                <w:rFonts w:ascii="Arial" w:hAnsi="Arial" w:cs="Arial"/>
                <w:sz w:val="20"/>
                <w:szCs w:val="20"/>
              </w:rPr>
              <w:t xml:space="preserve">representing </w:t>
            </w:r>
            <w:r w:rsidR="000B7437" w:rsidRPr="000B7437">
              <w:rPr>
                <w:rFonts w:ascii="Arial" w:hAnsi="Arial" w:cs="Arial"/>
                <w:sz w:val="20"/>
                <w:szCs w:val="20"/>
              </w:rPr>
              <w:t>[●]</w:t>
            </w:r>
            <w:r w:rsidRPr="004D4906">
              <w:rPr>
                <w:rFonts w:ascii="Arial" w:hAnsi="Arial" w:cs="Arial"/>
                <w:sz w:val="20"/>
                <w:szCs w:val="20"/>
              </w:rPr>
              <w:t>% of the Fully Diluted post-money share capital</w:t>
            </w:r>
            <w:r w:rsidR="008A3358">
              <w:rPr>
                <w:rFonts w:ascii="Arial" w:hAnsi="Arial" w:cs="Arial"/>
                <w:sz w:val="20"/>
                <w:szCs w:val="20"/>
              </w:rPr>
              <w:t xml:space="preserve">. </w:t>
            </w:r>
            <w:r w:rsidR="00A166F4">
              <w:rPr>
                <w:rFonts w:ascii="Arial" w:hAnsi="Arial" w:cs="Arial"/>
                <w:sz w:val="20"/>
                <w:szCs w:val="20"/>
              </w:rPr>
              <w:t xml:space="preserve">The right of an </w:t>
            </w:r>
            <w:r w:rsidR="008A3358">
              <w:rPr>
                <w:rFonts w:ascii="Arial" w:hAnsi="Arial" w:cs="Arial"/>
                <w:sz w:val="20"/>
                <w:szCs w:val="20"/>
              </w:rPr>
              <w:t>employee/</w:t>
            </w:r>
            <w:r w:rsidR="008A3358" w:rsidRPr="004D4906">
              <w:rPr>
                <w:rFonts w:ascii="Arial" w:hAnsi="Arial" w:cs="Arial"/>
                <w:sz w:val="20"/>
                <w:szCs w:val="20"/>
              </w:rPr>
              <w:t>director</w:t>
            </w:r>
            <w:r w:rsidR="008A3358">
              <w:rPr>
                <w:rFonts w:ascii="Arial" w:hAnsi="Arial" w:cs="Arial"/>
                <w:sz w:val="20"/>
                <w:szCs w:val="20"/>
              </w:rPr>
              <w:t>/</w:t>
            </w:r>
            <w:r w:rsidR="008A3358" w:rsidRPr="004D4906">
              <w:rPr>
                <w:rFonts w:ascii="Arial" w:hAnsi="Arial" w:cs="Arial"/>
                <w:sz w:val="20"/>
                <w:szCs w:val="20"/>
              </w:rPr>
              <w:t xml:space="preserve">consultant </w:t>
            </w:r>
            <w:r w:rsidR="008A3358">
              <w:rPr>
                <w:rFonts w:ascii="Arial" w:hAnsi="Arial" w:cs="Arial"/>
                <w:sz w:val="20"/>
                <w:szCs w:val="20"/>
              </w:rPr>
              <w:t xml:space="preserve">to participate in the value of phantom shares will </w:t>
            </w:r>
            <w:r w:rsidRPr="004D4906">
              <w:rPr>
                <w:rFonts w:ascii="Arial" w:hAnsi="Arial" w:cs="Arial"/>
                <w:sz w:val="20"/>
                <w:szCs w:val="20"/>
              </w:rPr>
              <w:t>be subject to [four-year] vesting, with [25%] vesting on the first anniversary of the commencement of services and the remainder vesting monthly thereafter.</w:t>
            </w:r>
          </w:p>
          <w:p w14:paraId="3473CC69" w14:textId="77777777" w:rsidR="00F6758C" w:rsidRPr="004D4906" w:rsidRDefault="00F6758C" w:rsidP="006E36E7">
            <w:pPr>
              <w:pStyle w:val="TableText"/>
              <w:rPr>
                <w:rFonts w:ascii="Arial" w:hAnsi="Arial" w:cs="Arial"/>
                <w:sz w:val="20"/>
                <w:szCs w:val="20"/>
              </w:rPr>
            </w:pPr>
          </w:p>
          <w:p w14:paraId="459B2E58" w14:textId="19B361F3" w:rsidR="00085B60" w:rsidRPr="004D4906" w:rsidRDefault="00085B60" w:rsidP="006E36E7">
            <w:pPr>
              <w:pStyle w:val="TableText"/>
              <w:rPr>
                <w:rFonts w:ascii="Arial" w:hAnsi="Arial" w:cs="Arial"/>
                <w:sz w:val="20"/>
                <w:szCs w:val="20"/>
              </w:rPr>
            </w:pPr>
          </w:p>
        </w:tc>
      </w:tr>
    </w:tbl>
    <w:p w14:paraId="064F368D" w14:textId="77777777" w:rsidR="00085B60" w:rsidRPr="004D4906" w:rsidRDefault="00085B60">
      <w:pPr>
        <w:rPr>
          <w:rFonts w:ascii="Arial" w:hAnsi="Arial" w:cs="Arial"/>
          <w:sz w:val="20"/>
          <w:szCs w:val="20"/>
        </w:rPr>
      </w:pPr>
      <w:r w:rsidRPr="004D4906">
        <w:rPr>
          <w:rFonts w:ascii="Arial" w:hAnsi="Arial" w:cs="Arial"/>
          <w:sz w:val="20"/>
          <w:szCs w:val="20"/>
        </w:rPr>
        <w:br w:type="page"/>
      </w:r>
    </w:p>
    <w:tbl>
      <w:tblPr>
        <w:tblW w:w="5000" w:type="pct"/>
        <w:tblLook w:val="0000" w:firstRow="0" w:lastRow="0" w:firstColumn="0" w:lastColumn="0" w:noHBand="0" w:noVBand="0"/>
      </w:tblPr>
      <w:tblGrid>
        <w:gridCol w:w="3763"/>
        <w:gridCol w:w="5597"/>
      </w:tblGrid>
      <w:tr w:rsidR="00DD2457" w:rsidRPr="004D4906" w14:paraId="33A3FF09" w14:textId="77777777" w:rsidTr="00682930">
        <w:tc>
          <w:tcPr>
            <w:tcW w:w="5000" w:type="pct"/>
            <w:gridSpan w:val="2"/>
            <w:tcBorders>
              <w:top w:val="nil"/>
              <w:left w:val="nil"/>
              <w:bottom w:val="nil"/>
              <w:right w:val="nil"/>
            </w:tcBorders>
          </w:tcPr>
          <w:p w14:paraId="168CD3BF" w14:textId="304295CC" w:rsidR="00DD2457" w:rsidRPr="004D4906" w:rsidRDefault="00945244" w:rsidP="00FD57EE">
            <w:pPr>
              <w:pStyle w:val="TableTextBU"/>
              <w:rPr>
                <w:rFonts w:ascii="Arial" w:hAnsi="Arial" w:cs="Arial"/>
                <w:sz w:val="20"/>
                <w:szCs w:val="20"/>
              </w:rPr>
            </w:pPr>
            <w:r w:rsidRPr="004D4906">
              <w:rPr>
                <w:rFonts w:ascii="Arial" w:hAnsi="Arial" w:cs="Arial"/>
                <w:sz w:val="20"/>
                <w:szCs w:val="20"/>
              </w:rPr>
              <w:lastRenderedPageBreak/>
              <w:t>MEMORANDUM OF INCORPORATION</w:t>
            </w:r>
          </w:p>
        </w:tc>
      </w:tr>
      <w:tr w:rsidR="00DD2457" w:rsidRPr="004D4906" w14:paraId="0C6E9B26" w14:textId="77777777" w:rsidTr="001D1564">
        <w:tc>
          <w:tcPr>
            <w:tcW w:w="2010" w:type="pct"/>
            <w:tcBorders>
              <w:top w:val="nil"/>
              <w:left w:val="nil"/>
              <w:bottom w:val="nil"/>
              <w:right w:val="nil"/>
            </w:tcBorders>
          </w:tcPr>
          <w:p w14:paraId="357BBC09" w14:textId="23747433" w:rsidR="00DD2457" w:rsidRPr="004D4906" w:rsidRDefault="00960568" w:rsidP="00FD57EE">
            <w:pPr>
              <w:pStyle w:val="TableItalics"/>
              <w:rPr>
                <w:rFonts w:ascii="Arial" w:hAnsi="Arial" w:cs="Arial"/>
                <w:sz w:val="20"/>
                <w:szCs w:val="20"/>
              </w:rPr>
            </w:pPr>
            <w:bookmarkStart w:id="35" w:name="Dividends"/>
            <w:bookmarkEnd w:id="35"/>
            <w:r w:rsidRPr="004D4906">
              <w:rPr>
                <w:rFonts w:ascii="Arial" w:hAnsi="Arial" w:cs="Arial"/>
                <w:sz w:val="20"/>
                <w:szCs w:val="20"/>
              </w:rPr>
              <w:t>Dividends</w:t>
            </w:r>
          </w:p>
        </w:tc>
        <w:tc>
          <w:tcPr>
            <w:tcW w:w="2990" w:type="pct"/>
            <w:tcBorders>
              <w:top w:val="nil"/>
              <w:left w:val="nil"/>
              <w:bottom w:val="nil"/>
              <w:right w:val="nil"/>
            </w:tcBorders>
          </w:tcPr>
          <w:p w14:paraId="66E96ED9" w14:textId="1D686918" w:rsidR="00DD2457" w:rsidRPr="004D4906" w:rsidRDefault="00DD2457" w:rsidP="00FD57EE">
            <w:pPr>
              <w:pStyle w:val="TableText"/>
              <w:rPr>
                <w:rFonts w:ascii="Arial" w:hAnsi="Arial" w:cs="Arial"/>
                <w:sz w:val="20"/>
                <w:szCs w:val="20"/>
              </w:rPr>
            </w:pPr>
            <w:r w:rsidRPr="004D4906">
              <w:rPr>
                <w:rFonts w:ascii="Arial" w:hAnsi="Arial" w:cs="Arial"/>
                <w:sz w:val="20"/>
                <w:szCs w:val="20"/>
              </w:rPr>
              <w:t>[</w:t>
            </w:r>
            <w:r w:rsidRPr="004D4906">
              <w:rPr>
                <w:rFonts w:ascii="Arial" w:hAnsi="Arial" w:cs="Arial"/>
                <w:i/>
                <w:iCs/>
                <w:sz w:val="20"/>
                <w:szCs w:val="20"/>
              </w:rPr>
              <w:t xml:space="preserve">Alternative 1:  </w:t>
            </w:r>
            <w:r w:rsidRPr="004D4906">
              <w:rPr>
                <w:rFonts w:ascii="Arial" w:hAnsi="Arial" w:cs="Arial"/>
                <w:sz w:val="20"/>
                <w:szCs w:val="20"/>
              </w:rPr>
              <w:t xml:space="preserve">Dividends will be paid on the </w:t>
            </w:r>
            <w:r w:rsidR="001A7801" w:rsidRPr="004D4906">
              <w:rPr>
                <w:rFonts w:ascii="Arial" w:hAnsi="Arial" w:cs="Arial"/>
                <w:sz w:val="20"/>
                <w:szCs w:val="20"/>
              </w:rPr>
              <w:t>Series A Shares</w:t>
            </w:r>
            <w:r w:rsidRPr="004D4906">
              <w:rPr>
                <w:rFonts w:ascii="Arial" w:hAnsi="Arial" w:cs="Arial"/>
                <w:sz w:val="20"/>
                <w:szCs w:val="20"/>
              </w:rPr>
              <w:t xml:space="preserve"> on an as</w:t>
            </w:r>
            <w:r w:rsidRPr="004D4906">
              <w:rPr>
                <w:rFonts w:ascii="Arial" w:hAnsi="Arial" w:cs="Arial"/>
                <w:sz w:val="20"/>
                <w:szCs w:val="20"/>
              </w:rPr>
              <w:noBreakHyphen/>
              <w:t xml:space="preserve">converted basis when, as, and if paid on the </w:t>
            </w:r>
            <w:r w:rsidR="00F9379B" w:rsidRPr="004D4906">
              <w:rPr>
                <w:rFonts w:ascii="Arial" w:hAnsi="Arial" w:cs="Arial"/>
                <w:sz w:val="20"/>
                <w:szCs w:val="20"/>
              </w:rPr>
              <w:t>Ordinary</w:t>
            </w:r>
            <w:r w:rsidRPr="004D4906">
              <w:rPr>
                <w:rFonts w:ascii="Arial" w:hAnsi="Arial" w:cs="Arial"/>
                <w:sz w:val="20"/>
                <w:szCs w:val="20"/>
              </w:rPr>
              <w:t xml:space="preserve"> </w:t>
            </w:r>
            <w:r w:rsidR="004527B6" w:rsidRPr="004D4906">
              <w:rPr>
                <w:rFonts w:ascii="Arial" w:hAnsi="Arial" w:cs="Arial"/>
                <w:sz w:val="20"/>
                <w:szCs w:val="20"/>
              </w:rPr>
              <w:t>Share</w:t>
            </w:r>
            <w:r w:rsidR="00D80A9E" w:rsidRPr="004D4906">
              <w:rPr>
                <w:rFonts w:ascii="Arial" w:hAnsi="Arial" w:cs="Arial"/>
                <w:sz w:val="20"/>
                <w:szCs w:val="20"/>
              </w:rPr>
              <w:t>s</w:t>
            </w:r>
            <w:r w:rsidRPr="004D4906">
              <w:rPr>
                <w:rFonts w:ascii="Arial" w:hAnsi="Arial" w:cs="Arial"/>
                <w:sz w:val="20"/>
                <w:szCs w:val="20"/>
              </w:rPr>
              <w:t>.]</w:t>
            </w:r>
            <w:r w:rsidR="005E1F12">
              <w:rPr>
                <w:rStyle w:val="FootnoteReference"/>
                <w:rFonts w:cs="Arial"/>
                <w:szCs w:val="20"/>
              </w:rPr>
              <w:footnoteReference w:id="7"/>
            </w:r>
          </w:p>
          <w:p w14:paraId="244E62E9" w14:textId="3B4783CF" w:rsidR="00DD2457" w:rsidRPr="004D4906" w:rsidRDefault="00DD2457" w:rsidP="00FD57EE">
            <w:pPr>
              <w:pStyle w:val="TableText"/>
              <w:rPr>
                <w:rFonts w:ascii="Arial" w:hAnsi="Arial" w:cs="Arial"/>
                <w:sz w:val="20"/>
                <w:szCs w:val="20"/>
              </w:rPr>
            </w:pPr>
            <w:r w:rsidRPr="004D4906">
              <w:rPr>
                <w:rFonts w:ascii="Arial" w:hAnsi="Arial" w:cs="Arial"/>
                <w:sz w:val="20"/>
                <w:szCs w:val="20"/>
              </w:rPr>
              <w:t>[</w:t>
            </w:r>
            <w:r w:rsidRPr="004D4906">
              <w:rPr>
                <w:rFonts w:ascii="Arial" w:hAnsi="Arial" w:cs="Arial"/>
                <w:i/>
                <w:iCs/>
                <w:sz w:val="20"/>
                <w:szCs w:val="20"/>
              </w:rPr>
              <w:t>Alternative 2</w:t>
            </w:r>
            <w:r w:rsidRPr="004D4906">
              <w:rPr>
                <w:rFonts w:ascii="Arial" w:hAnsi="Arial" w:cs="Arial"/>
                <w:b/>
                <w:sz w:val="20"/>
                <w:szCs w:val="20"/>
              </w:rPr>
              <w:t>:</w:t>
            </w:r>
            <w:r w:rsidRPr="004D4906">
              <w:rPr>
                <w:rFonts w:ascii="Arial" w:hAnsi="Arial" w:cs="Arial"/>
                <w:sz w:val="20"/>
                <w:szCs w:val="20"/>
              </w:rPr>
              <w:t xml:space="preserve">  Non-cumulative dividends will be paid on the </w:t>
            </w:r>
            <w:r w:rsidR="001A7801" w:rsidRPr="004D4906">
              <w:rPr>
                <w:rFonts w:ascii="Arial" w:hAnsi="Arial" w:cs="Arial"/>
                <w:sz w:val="20"/>
                <w:szCs w:val="20"/>
              </w:rPr>
              <w:t>Series A Shares</w:t>
            </w:r>
            <w:r w:rsidRPr="004D4906">
              <w:rPr>
                <w:rFonts w:ascii="Arial" w:hAnsi="Arial" w:cs="Arial"/>
                <w:sz w:val="20"/>
                <w:szCs w:val="20"/>
              </w:rPr>
              <w:t xml:space="preserve"> in an amount equal to </w:t>
            </w:r>
            <w:r w:rsidR="001D1564" w:rsidRPr="004D4906">
              <w:rPr>
                <w:rFonts w:ascii="Arial" w:hAnsi="Arial" w:cs="Arial"/>
                <w:sz w:val="20"/>
                <w:szCs w:val="20"/>
              </w:rPr>
              <w:t>[</w:t>
            </w:r>
            <w:r w:rsidR="00AE2F64" w:rsidRPr="004D4906">
              <w:rPr>
                <w:rFonts w:ascii="Arial" w:hAnsi="Arial" w:cs="Arial"/>
                <w:sz w:val="20"/>
                <w:szCs w:val="20"/>
              </w:rPr>
              <w:t xml:space="preserve">an annual </w:t>
            </w:r>
            <w:r w:rsidR="0098572D" w:rsidRPr="004A6DDB">
              <w:rPr>
                <w:rFonts w:ascii="Arial" w:hAnsi="Arial" w:cs="Arial"/>
                <w:sz w:val="20"/>
                <w:szCs w:val="20"/>
              </w:rPr>
              <w:t>[●]</w:t>
            </w:r>
            <w:r w:rsidR="00AE2F64" w:rsidRPr="004D4906">
              <w:rPr>
                <w:rFonts w:ascii="Arial" w:hAnsi="Arial" w:cs="Arial"/>
                <w:sz w:val="20"/>
                <w:szCs w:val="20"/>
              </w:rPr>
              <w:t xml:space="preserve">%] dividend </w:t>
            </w:r>
            <w:r w:rsidR="001D1564" w:rsidRPr="004D4906">
              <w:rPr>
                <w:rFonts w:ascii="Arial" w:hAnsi="Arial" w:cs="Arial"/>
                <w:sz w:val="20"/>
                <w:szCs w:val="20"/>
              </w:rPr>
              <w:t>[</w:t>
            </w:r>
            <w:r w:rsidR="00AE2F64" w:rsidRPr="004D4906">
              <w:rPr>
                <w:rFonts w:ascii="Arial" w:hAnsi="Arial" w:cs="Arial"/>
                <w:sz w:val="20"/>
                <w:szCs w:val="20"/>
              </w:rPr>
              <w:t xml:space="preserve">or </w:t>
            </w:r>
            <w:r w:rsidR="004A6DDB" w:rsidRPr="004A6DDB">
              <w:rPr>
                <w:rFonts w:ascii="Arial" w:hAnsi="Arial" w:cs="Arial"/>
                <w:sz w:val="20"/>
                <w:szCs w:val="20"/>
              </w:rPr>
              <w:t>[R[●] ([●])</w:t>
            </w:r>
            <w:r w:rsidRPr="004D4906">
              <w:rPr>
                <w:rFonts w:ascii="Arial" w:hAnsi="Arial" w:cs="Arial"/>
                <w:sz w:val="20"/>
                <w:szCs w:val="20"/>
              </w:rPr>
              <w:t xml:space="preserve">] per share of </w:t>
            </w:r>
            <w:r w:rsidR="001A7801" w:rsidRPr="004D4906">
              <w:rPr>
                <w:rFonts w:ascii="Arial" w:hAnsi="Arial" w:cs="Arial"/>
                <w:sz w:val="20"/>
                <w:szCs w:val="20"/>
              </w:rPr>
              <w:t>Series A Shares</w:t>
            </w:r>
            <w:r w:rsidRPr="004D4906">
              <w:rPr>
                <w:rFonts w:ascii="Arial" w:hAnsi="Arial" w:cs="Arial"/>
                <w:sz w:val="20"/>
                <w:szCs w:val="20"/>
              </w:rPr>
              <w:t xml:space="preserve"> when and if declared by the Board of Directors.]</w:t>
            </w:r>
          </w:p>
          <w:p w14:paraId="6E354395" w14:textId="4198634E" w:rsidR="00DD2457" w:rsidRPr="004D4906" w:rsidRDefault="00DD2457" w:rsidP="00FD57EE">
            <w:pPr>
              <w:pStyle w:val="TableText"/>
              <w:rPr>
                <w:rFonts w:ascii="Arial" w:hAnsi="Arial" w:cs="Arial"/>
                <w:sz w:val="20"/>
                <w:szCs w:val="20"/>
              </w:rPr>
            </w:pPr>
            <w:r w:rsidRPr="004D4906">
              <w:rPr>
                <w:rFonts w:ascii="Arial" w:hAnsi="Arial" w:cs="Arial"/>
                <w:sz w:val="20"/>
                <w:szCs w:val="20"/>
              </w:rPr>
              <w:t>[</w:t>
            </w:r>
            <w:r w:rsidRPr="004D4906">
              <w:rPr>
                <w:rFonts w:ascii="Arial" w:hAnsi="Arial" w:cs="Arial"/>
                <w:i/>
                <w:iCs/>
                <w:sz w:val="20"/>
                <w:szCs w:val="20"/>
              </w:rPr>
              <w:t xml:space="preserve">Alternative 3:  </w:t>
            </w:r>
            <w:r w:rsidRPr="004D4906">
              <w:rPr>
                <w:rFonts w:ascii="Arial" w:hAnsi="Arial" w:cs="Arial"/>
                <w:sz w:val="20"/>
                <w:szCs w:val="20"/>
              </w:rPr>
              <w:t xml:space="preserve">The </w:t>
            </w:r>
            <w:r w:rsidR="001A7801" w:rsidRPr="004D4906">
              <w:rPr>
                <w:rFonts w:ascii="Arial" w:hAnsi="Arial" w:cs="Arial"/>
                <w:sz w:val="20"/>
                <w:szCs w:val="20"/>
              </w:rPr>
              <w:t>Series A Shares</w:t>
            </w:r>
            <w:r w:rsidRPr="004D4906">
              <w:rPr>
                <w:rFonts w:ascii="Arial" w:hAnsi="Arial" w:cs="Arial"/>
                <w:sz w:val="20"/>
                <w:szCs w:val="20"/>
              </w:rPr>
              <w:t xml:space="preserve"> will carry an annual </w:t>
            </w:r>
            <w:r w:rsidR="0098572D" w:rsidRPr="004A6DDB">
              <w:rPr>
                <w:rFonts w:ascii="Arial" w:hAnsi="Arial" w:cs="Arial"/>
                <w:sz w:val="20"/>
                <w:szCs w:val="20"/>
              </w:rPr>
              <w:t>[●]</w:t>
            </w:r>
            <w:r w:rsidRPr="004D4906">
              <w:rPr>
                <w:rFonts w:ascii="Arial" w:hAnsi="Arial" w:cs="Arial"/>
                <w:sz w:val="20"/>
                <w:szCs w:val="20"/>
              </w:rPr>
              <w:t xml:space="preserve">% cumulative dividend [payable upon a liquidation or redemption].  For any other dividends or distributions, participation with </w:t>
            </w:r>
            <w:r w:rsidR="00F9379B" w:rsidRPr="004D4906">
              <w:rPr>
                <w:rFonts w:ascii="Arial" w:hAnsi="Arial" w:cs="Arial"/>
                <w:sz w:val="20"/>
                <w:szCs w:val="20"/>
              </w:rPr>
              <w:t>Ordinary</w:t>
            </w:r>
            <w:r w:rsidRPr="004D4906">
              <w:rPr>
                <w:rFonts w:ascii="Arial" w:hAnsi="Arial" w:cs="Arial"/>
                <w:sz w:val="20"/>
                <w:szCs w:val="20"/>
              </w:rPr>
              <w:t xml:space="preserve"> </w:t>
            </w:r>
            <w:r w:rsidR="00AC25D1" w:rsidRPr="004D4906">
              <w:rPr>
                <w:rFonts w:ascii="Arial" w:hAnsi="Arial" w:cs="Arial"/>
                <w:sz w:val="20"/>
                <w:szCs w:val="20"/>
              </w:rPr>
              <w:t xml:space="preserve">Shares </w:t>
            </w:r>
            <w:r w:rsidRPr="004D4906">
              <w:rPr>
                <w:rFonts w:ascii="Arial" w:hAnsi="Arial" w:cs="Arial"/>
                <w:sz w:val="20"/>
                <w:szCs w:val="20"/>
              </w:rPr>
              <w:t>on an as-converted basis.]</w:t>
            </w:r>
            <w:r w:rsidR="003407C9" w:rsidRPr="004D4906" w:rsidDel="003407C9">
              <w:rPr>
                <w:rStyle w:val="FootnoteReference"/>
                <w:rFonts w:ascii="Arial" w:hAnsi="Arial" w:cs="Arial"/>
                <w:szCs w:val="20"/>
              </w:rPr>
              <w:t xml:space="preserve"> </w:t>
            </w:r>
          </w:p>
        </w:tc>
      </w:tr>
      <w:tr w:rsidR="00DD2457" w:rsidRPr="004D4906" w14:paraId="733E4F24" w14:textId="77777777" w:rsidTr="001D1564">
        <w:tc>
          <w:tcPr>
            <w:tcW w:w="2010" w:type="pct"/>
            <w:tcBorders>
              <w:top w:val="nil"/>
              <w:left w:val="nil"/>
              <w:bottom w:val="nil"/>
              <w:right w:val="nil"/>
            </w:tcBorders>
          </w:tcPr>
          <w:p w14:paraId="0A42C990" w14:textId="43D0BDE4" w:rsidR="00DD2457" w:rsidRPr="004D4906" w:rsidRDefault="00DD2457" w:rsidP="000C50A0">
            <w:pPr>
              <w:pStyle w:val="TableItalics"/>
              <w:rPr>
                <w:rFonts w:ascii="Arial" w:hAnsi="Arial" w:cs="Arial"/>
                <w:sz w:val="20"/>
                <w:szCs w:val="20"/>
              </w:rPr>
            </w:pPr>
            <w:bookmarkStart w:id="36" w:name="Percentage"/>
            <w:bookmarkStart w:id="37" w:name="Liquidation"/>
            <w:bookmarkEnd w:id="36"/>
            <w:bookmarkEnd w:id="37"/>
            <w:r w:rsidRPr="004D4906">
              <w:rPr>
                <w:rFonts w:ascii="Arial" w:hAnsi="Arial" w:cs="Arial"/>
                <w:sz w:val="20"/>
                <w:szCs w:val="20"/>
              </w:rPr>
              <w:br w:type="page"/>
            </w:r>
            <w:r w:rsidRPr="004D4906">
              <w:rPr>
                <w:rFonts w:ascii="Arial" w:hAnsi="Arial" w:cs="Arial"/>
                <w:sz w:val="20"/>
                <w:szCs w:val="20"/>
              </w:rPr>
              <w:br w:type="page"/>
            </w:r>
            <w:r w:rsidR="00745410" w:rsidRPr="004D4906">
              <w:rPr>
                <w:rFonts w:ascii="Arial" w:hAnsi="Arial" w:cs="Arial"/>
                <w:sz w:val="20"/>
                <w:szCs w:val="20"/>
              </w:rPr>
              <w:t>Liquidity</w:t>
            </w:r>
            <w:r w:rsidR="00562DC5" w:rsidRPr="004D4906">
              <w:rPr>
                <w:rFonts w:ascii="Arial" w:hAnsi="Arial" w:cs="Arial"/>
                <w:sz w:val="20"/>
                <w:szCs w:val="20"/>
              </w:rPr>
              <w:t xml:space="preserve"> Preference</w:t>
            </w:r>
            <w:r w:rsidR="00467B0E" w:rsidRPr="004D4906">
              <w:rPr>
                <w:rStyle w:val="FootnoteReference"/>
                <w:rFonts w:ascii="Arial" w:hAnsi="Arial" w:cs="Arial"/>
                <w:szCs w:val="20"/>
              </w:rPr>
              <w:footnoteReference w:id="8"/>
            </w:r>
            <w:r w:rsidR="00F74385">
              <w:rPr>
                <w:rFonts w:ascii="Arial" w:hAnsi="Arial" w:cs="Arial"/>
                <w:sz w:val="20"/>
                <w:szCs w:val="20"/>
              </w:rPr>
              <w:t xml:space="preserve"> </w:t>
            </w:r>
            <w:r w:rsidR="00F74385">
              <w:rPr>
                <w:rStyle w:val="FootnoteReference"/>
                <w:rFonts w:cs="Arial"/>
                <w:szCs w:val="20"/>
              </w:rPr>
              <w:footnoteReference w:id="9"/>
            </w:r>
          </w:p>
        </w:tc>
        <w:tc>
          <w:tcPr>
            <w:tcW w:w="2990" w:type="pct"/>
            <w:tcBorders>
              <w:top w:val="nil"/>
              <w:left w:val="nil"/>
              <w:bottom w:val="nil"/>
              <w:right w:val="nil"/>
            </w:tcBorders>
          </w:tcPr>
          <w:p w14:paraId="3F3B5B1A" w14:textId="56B917BB" w:rsidR="00DD2457" w:rsidRPr="004D4906" w:rsidRDefault="00DD2457" w:rsidP="00FD57EE">
            <w:pPr>
              <w:pStyle w:val="TableText"/>
              <w:rPr>
                <w:rFonts w:ascii="Arial" w:hAnsi="Arial" w:cs="Arial"/>
                <w:sz w:val="20"/>
                <w:szCs w:val="20"/>
              </w:rPr>
            </w:pPr>
            <w:r w:rsidRPr="004D4906">
              <w:rPr>
                <w:rFonts w:ascii="Arial" w:hAnsi="Arial" w:cs="Arial"/>
                <w:sz w:val="20"/>
                <w:szCs w:val="20"/>
              </w:rPr>
              <w:t xml:space="preserve">In the event of any liquidation, dissolution or winding up of the Company, </w:t>
            </w:r>
            <w:r w:rsidR="00341F4D" w:rsidRPr="004D4906">
              <w:rPr>
                <w:rFonts w:ascii="Arial" w:hAnsi="Arial" w:cs="Arial"/>
                <w:sz w:val="20"/>
                <w:szCs w:val="20"/>
              </w:rPr>
              <w:t xml:space="preserve">or a Liquidity Event as described below, </w:t>
            </w:r>
            <w:r w:rsidRPr="004D4906">
              <w:rPr>
                <w:rFonts w:ascii="Arial" w:hAnsi="Arial" w:cs="Arial"/>
                <w:sz w:val="20"/>
                <w:szCs w:val="20"/>
              </w:rPr>
              <w:t>the proceeds shall be paid as follows:</w:t>
            </w:r>
          </w:p>
          <w:p w14:paraId="6322BA5A" w14:textId="7861340E" w:rsidR="00DD2457" w:rsidRPr="004D4906" w:rsidRDefault="00DD2457" w:rsidP="00FD57EE">
            <w:pPr>
              <w:pStyle w:val="TableText"/>
              <w:rPr>
                <w:rFonts w:ascii="Arial" w:hAnsi="Arial" w:cs="Arial"/>
                <w:sz w:val="20"/>
                <w:szCs w:val="20"/>
              </w:rPr>
            </w:pPr>
            <w:r w:rsidRPr="004D4906">
              <w:rPr>
                <w:rFonts w:ascii="Arial" w:hAnsi="Arial" w:cs="Arial"/>
                <w:sz w:val="20"/>
                <w:szCs w:val="20"/>
              </w:rPr>
              <w:t>[</w:t>
            </w:r>
            <w:r w:rsidRPr="004D4906">
              <w:rPr>
                <w:rFonts w:ascii="Arial" w:hAnsi="Arial" w:cs="Arial"/>
                <w:i/>
                <w:iCs/>
                <w:sz w:val="20"/>
                <w:szCs w:val="20"/>
              </w:rPr>
              <w:t>Alternative 1 (non-participating</w:t>
            </w:r>
            <w:r w:rsidR="00AE2F64" w:rsidRPr="004D4906">
              <w:rPr>
                <w:rStyle w:val="FootnoteReference"/>
                <w:rFonts w:ascii="Arial" w:hAnsi="Arial" w:cs="Arial"/>
                <w:i/>
                <w:iCs/>
                <w:szCs w:val="20"/>
              </w:rPr>
              <w:footnoteReference w:id="10"/>
            </w:r>
            <w:r w:rsidRPr="004D4906">
              <w:rPr>
                <w:rFonts w:ascii="Arial" w:hAnsi="Arial" w:cs="Arial"/>
                <w:i/>
                <w:iCs/>
                <w:sz w:val="20"/>
                <w:szCs w:val="20"/>
              </w:rPr>
              <w:t xml:space="preserve"> </w:t>
            </w:r>
            <w:r w:rsidR="00C44739">
              <w:rPr>
                <w:rFonts w:ascii="Arial" w:hAnsi="Arial" w:cs="Arial"/>
                <w:i/>
                <w:iCs/>
                <w:sz w:val="20"/>
                <w:szCs w:val="20"/>
              </w:rPr>
              <w:t>Preference</w:t>
            </w:r>
            <w:r w:rsidRPr="004D4906">
              <w:rPr>
                <w:rFonts w:ascii="Arial" w:hAnsi="Arial" w:cs="Arial"/>
                <w:i/>
                <w:iCs/>
                <w:sz w:val="20"/>
                <w:szCs w:val="20"/>
              </w:rPr>
              <w:t xml:space="preserve"> </w:t>
            </w:r>
            <w:r w:rsidR="004527B6" w:rsidRPr="004D4906">
              <w:rPr>
                <w:rFonts w:ascii="Arial" w:hAnsi="Arial" w:cs="Arial"/>
                <w:i/>
                <w:iCs/>
                <w:sz w:val="20"/>
                <w:szCs w:val="20"/>
              </w:rPr>
              <w:t>Share</w:t>
            </w:r>
            <w:r w:rsidRPr="004D4906">
              <w:rPr>
                <w:rFonts w:ascii="Arial" w:hAnsi="Arial" w:cs="Arial"/>
                <w:i/>
                <w:iCs/>
                <w:sz w:val="20"/>
                <w:szCs w:val="20"/>
              </w:rPr>
              <w:t>)</w:t>
            </w:r>
            <w:r w:rsidRPr="004D4906">
              <w:rPr>
                <w:rFonts w:ascii="Arial" w:hAnsi="Arial" w:cs="Arial"/>
                <w:sz w:val="20"/>
                <w:szCs w:val="20"/>
              </w:rPr>
              <w:t>: First pay [</w:t>
            </w:r>
            <w:r w:rsidR="00467B0E" w:rsidRPr="004D4906">
              <w:rPr>
                <w:rFonts w:ascii="Arial" w:hAnsi="Arial" w:cs="Arial"/>
                <w:sz w:val="20"/>
                <w:szCs w:val="20"/>
              </w:rPr>
              <w:t>XX</w:t>
            </w:r>
            <w:r w:rsidRPr="004D4906">
              <w:rPr>
                <w:rFonts w:ascii="Arial" w:hAnsi="Arial" w:cs="Arial"/>
                <w:sz w:val="20"/>
                <w:szCs w:val="20"/>
              </w:rPr>
              <w:t xml:space="preserve"> times]</w:t>
            </w:r>
            <w:r w:rsidR="007A5B17" w:rsidRPr="004D4906">
              <w:rPr>
                <w:rStyle w:val="FootnoteReference"/>
                <w:rFonts w:ascii="Arial" w:hAnsi="Arial" w:cs="Arial"/>
                <w:szCs w:val="20"/>
              </w:rPr>
              <w:footnoteReference w:id="11"/>
            </w:r>
            <w:r w:rsidRPr="004D4906">
              <w:rPr>
                <w:rFonts w:ascii="Arial" w:hAnsi="Arial" w:cs="Arial"/>
                <w:sz w:val="20"/>
                <w:szCs w:val="20"/>
              </w:rPr>
              <w:t xml:space="preserve"> the Original </w:t>
            </w:r>
            <w:r w:rsidR="007C7FB4" w:rsidRPr="004D4906">
              <w:rPr>
                <w:rFonts w:ascii="Arial" w:hAnsi="Arial" w:cs="Arial"/>
                <w:sz w:val="20"/>
                <w:szCs w:val="20"/>
              </w:rPr>
              <w:t xml:space="preserve">Subscription </w:t>
            </w:r>
            <w:r w:rsidRPr="004D4906">
              <w:rPr>
                <w:rFonts w:ascii="Arial" w:hAnsi="Arial" w:cs="Arial"/>
                <w:sz w:val="20"/>
                <w:szCs w:val="20"/>
              </w:rPr>
              <w:t xml:space="preserve">Price [plus [accrued and] declared and unpaid dividends] on each Series A </w:t>
            </w:r>
            <w:r w:rsidR="00976120" w:rsidRPr="004D4906">
              <w:rPr>
                <w:rFonts w:ascii="Arial" w:hAnsi="Arial" w:cs="Arial"/>
                <w:sz w:val="20"/>
                <w:szCs w:val="20"/>
              </w:rPr>
              <w:t xml:space="preserve">Share </w:t>
            </w:r>
            <w:r w:rsidRPr="004D4906">
              <w:rPr>
                <w:rFonts w:ascii="Arial" w:hAnsi="Arial" w:cs="Arial"/>
                <w:sz w:val="20"/>
                <w:szCs w:val="20"/>
              </w:rPr>
              <w:lastRenderedPageBreak/>
              <w:t xml:space="preserve">(or, if greater, the amount that the </w:t>
            </w:r>
            <w:r w:rsidR="001A7801" w:rsidRPr="004D4906">
              <w:rPr>
                <w:rFonts w:ascii="Arial" w:hAnsi="Arial" w:cs="Arial"/>
                <w:sz w:val="20"/>
                <w:szCs w:val="20"/>
              </w:rPr>
              <w:t>Series A Shares</w:t>
            </w:r>
            <w:r w:rsidRPr="004D4906">
              <w:rPr>
                <w:rFonts w:ascii="Arial" w:hAnsi="Arial" w:cs="Arial"/>
                <w:sz w:val="20"/>
                <w:szCs w:val="20"/>
              </w:rPr>
              <w:t xml:space="preserve"> would receive on an as-converted basis).  The balance of any proceeds shall be distributed pro rata</w:t>
            </w:r>
            <w:r w:rsidRPr="004D4906">
              <w:rPr>
                <w:rFonts w:ascii="Arial" w:hAnsi="Arial" w:cs="Arial"/>
                <w:b/>
                <w:sz w:val="20"/>
                <w:szCs w:val="20"/>
              </w:rPr>
              <w:t xml:space="preserve"> </w:t>
            </w:r>
            <w:r w:rsidRPr="004D4906">
              <w:rPr>
                <w:rFonts w:ascii="Arial" w:hAnsi="Arial" w:cs="Arial"/>
                <w:sz w:val="20"/>
                <w:szCs w:val="20"/>
              </w:rPr>
              <w:t xml:space="preserve">to holders of </w:t>
            </w:r>
            <w:r w:rsidR="00F9379B" w:rsidRPr="004D4906">
              <w:rPr>
                <w:rFonts w:ascii="Arial" w:hAnsi="Arial" w:cs="Arial"/>
                <w:sz w:val="20"/>
                <w:szCs w:val="20"/>
              </w:rPr>
              <w:t>Ordinary</w:t>
            </w:r>
            <w:r w:rsidRPr="004D4906">
              <w:rPr>
                <w:rFonts w:ascii="Arial" w:hAnsi="Arial" w:cs="Arial"/>
                <w:sz w:val="20"/>
                <w:szCs w:val="20"/>
              </w:rPr>
              <w:t xml:space="preserve"> </w:t>
            </w:r>
            <w:r w:rsidR="004527B6" w:rsidRPr="004D4906">
              <w:rPr>
                <w:rFonts w:ascii="Arial" w:hAnsi="Arial" w:cs="Arial"/>
                <w:sz w:val="20"/>
                <w:szCs w:val="20"/>
              </w:rPr>
              <w:t>Share</w:t>
            </w:r>
            <w:r w:rsidR="006868CA" w:rsidRPr="004D4906">
              <w:rPr>
                <w:rFonts w:ascii="Arial" w:hAnsi="Arial" w:cs="Arial"/>
                <w:sz w:val="20"/>
                <w:szCs w:val="20"/>
              </w:rPr>
              <w:t>s</w:t>
            </w:r>
            <w:r w:rsidRPr="004D4906">
              <w:rPr>
                <w:rFonts w:ascii="Arial" w:hAnsi="Arial" w:cs="Arial"/>
                <w:sz w:val="20"/>
                <w:szCs w:val="20"/>
              </w:rPr>
              <w:t>.]</w:t>
            </w:r>
          </w:p>
          <w:p w14:paraId="4653FA98" w14:textId="1F24FD65" w:rsidR="00DD2457" w:rsidRPr="004D4906" w:rsidRDefault="00DD2457" w:rsidP="00FD57EE">
            <w:pPr>
              <w:pStyle w:val="TableText"/>
              <w:rPr>
                <w:rFonts w:ascii="Arial" w:hAnsi="Arial" w:cs="Arial"/>
                <w:sz w:val="20"/>
                <w:szCs w:val="20"/>
              </w:rPr>
            </w:pPr>
            <w:r w:rsidRPr="004D4906">
              <w:rPr>
                <w:rFonts w:ascii="Arial" w:hAnsi="Arial" w:cs="Arial"/>
                <w:sz w:val="20"/>
                <w:szCs w:val="20"/>
              </w:rPr>
              <w:t>[</w:t>
            </w:r>
            <w:r w:rsidRPr="004D4906">
              <w:rPr>
                <w:rFonts w:ascii="Arial" w:hAnsi="Arial" w:cs="Arial"/>
                <w:i/>
                <w:iCs/>
                <w:sz w:val="20"/>
                <w:szCs w:val="20"/>
              </w:rPr>
              <w:t xml:space="preserve">Alternative 2 (full participating </w:t>
            </w:r>
            <w:r w:rsidR="00C44739">
              <w:rPr>
                <w:rFonts w:ascii="Arial" w:hAnsi="Arial" w:cs="Arial"/>
                <w:i/>
                <w:iCs/>
                <w:sz w:val="20"/>
                <w:szCs w:val="20"/>
              </w:rPr>
              <w:t>Preference</w:t>
            </w:r>
            <w:r w:rsidRPr="004D4906">
              <w:rPr>
                <w:rFonts w:ascii="Arial" w:hAnsi="Arial" w:cs="Arial"/>
                <w:i/>
                <w:iCs/>
                <w:sz w:val="20"/>
                <w:szCs w:val="20"/>
              </w:rPr>
              <w:t xml:space="preserve"> </w:t>
            </w:r>
            <w:r w:rsidR="004527B6" w:rsidRPr="004D4906">
              <w:rPr>
                <w:rFonts w:ascii="Arial" w:hAnsi="Arial" w:cs="Arial"/>
                <w:i/>
                <w:iCs/>
                <w:sz w:val="20"/>
                <w:szCs w:val="20"/>
              </w:rPr>
              <w:t>Share</w:t>
            </w:r>
            <w:r w:rsidRPr="004D4906">
              <w:rPr>
                <w:rFonts w:ascii="Arial" w:hAnsi="Arial" w:cs="Arial"/>
                <w:i/>
                <w:iCs/>
                <w:sz w:val="20"/>
                <w:szCs w:val="20"/>
              </w:rPr>
              <w:t>)</w:t>
            </w:r>
            <w:r w:rsidRPr="004D4906">
              <w:rPr>
                <w:rFonts w:ascii="Arial" w:hAnsi="Arial" w:cs="Arial"/>
                <w:sz w:val="20"/>
                <w:szCs w:val="20"/>
              </w:rPr>
              <w:t xml:space="preserve">: First pay </w:t>
            </w:r>
            <w:r w:rsidR="0098572D" w:rsidRPr="004A6DDB">
              <w:rPr>
                <w:rFonts w:ascii="Arial" w:hAnsi="Arial" w:cs="Arial"/>
                <w:sz w:val="20"/>
                <w:szCs w:val="20"/>
              </w:rPr>
              <w:t>[●]</w:t>
            </w:r>
            <w:r w:rsidRPr="004D4906">
              <w:rPr>
                <w:rFonts w:ascii="Arial" w:hAnsi="Arial" w:cs="Arial"/>
                <w:sz w:val="20"/>
                <w:szCs w:val="20"/>
              </w:rPr>
              <w:t xml:space="preserve"> times] the Original </w:t>
            </w:r>
            <w:r w:rsidR="007C7FB4" w:rsidRPr="004D4906">
              <w:rPr>
                <w:rFonts w:ascii="Arial" w:hAnsi="Arial" w:cs="Arial"/>
                <w:sz w:val="20"/>
                <w:szCs w:val="20"/>
              </w:rPr>
              <w:t>Subscription</w:t>
            </w:r>
            <w:r w:rsidR="007C7FB4" w:rsidRPr="004D4906" w:rsidDel="007C7FB4">
              <w:rPr>
                <w:rFonts w:ascii="Arial" w:hAnsi="Arial" w:cs="Arial"/>
                <w:sz w:val="20"/>
                <w:szCs w:val="20"/>
              </w:rPr>
              <w:t xml:space="preserve"> </w:t>
            </w:r>
            <w:r w:rsidRPr="004D4906">
              <w:rPr>
                <w:rFonts w:ascii="Arial" w:hAnsi="Arial" w:cs="Arial"/>
                <w:sz w:val="20"/>
                <w:szCs w:val="20"/>
              </w:rPr>
              <w:t xml:space="preserve">Price [plus accrued and declared and unpaid dividends] on each Series A </w:t>
            </w:r>
            <w:r w:rsidR="00976120" w:rsidRPr="004D4906">
              <w:rPr>
                <w:rFonts w:ascii="Arial" w:hAnsi="Arial" w:cs="Arial"/>
                <w:sz w:val="20"/>
                <w:szCs w:val="20"/>
              </w:rPr>
              <w:t>Share</w:t>
            </w:r>
            <w:r w:rsidRPr="004D4906">
              <w:rPr>
                <w:rFonts w:ascii="Arial" w:hAnsi="Arial" w:cs="Arial"/>
                <w:sz w:val="20"/>
                <w:szCs w:val="20"/>
              </w:rPr>
              <w:t xml:space="preserve">.  Thereafter, the </w:t>
            </w:r>
            <w:r w:rsidR="001A7801" w:rsidRPr="004D4906">
              <w:rPr>
                <w:rFonts w:ascii="Arial" w:hAnsi="Arial" w:cs="Arial"/>
                <w:sz w:val="20"/>
                <w:szCs w:val="20"/>
              </w:rPr>
              <w:t>Series A Shares</w:t>
            </w:r>
            <w:r w:rsidRPr="004D4906">
              <w:rPr>
                <w:rFonts w:ascii="Arial" w:hAnsi="Arial" w:cs="Arial"/>
                <w:sz w:val="20"/>
                <w:szCs w:val="20"/>
              </w:rPr>
              <w:t xml:space="preserve"> participate with the </w:t>
            </w:r>
            <w:r w:rsidR="00F9379B" w:rsidRPr="004D4906">
              <w:rPr>
                <w:rFonts w:ascii="Arial" w:hAnsi="Arial" w:cs="Arial"/>
                <w:sz w:val="20"/>
                <w:szCs w:val="20"/>
              </w:rPr>
              <w:t>Ordinary</w:t>
            </w:r>
            <w:r w:rsidRPr="004D4906">
              <w:rPr>
                <w:rFonts w:ascii="Arial" w:hAnsi="Arial" w:cs="Arial"/>
                <w:sz w:val="20"/>
                <w:szCs w:val="20"/>
              </w:rPr>
              <w:t xml:space="preserve"> </w:t>
            </w:r>
            <w:r w:rsidR="004527B6" w:rsidRPr="004D4906">
              <w:rPr>
                <w:rFonts w:ascii="Arial" w:hAnsi="Arial" w:cs="Arial"/>
                <w:sz w:val="20"/>
                <w:szCs w:val="20"/>
              </w:rPr>
              <w:t>Share</w:t>
            </w:r>
            <w:r w:rsidR="006868CA" w:rsidRPr="004D4906">
              <w:rPr>
                <w:rFonts w:ascii="Arial" w:hAnsi="Arial" w:cs="Arial"/>
                <w:sz w:val="20"/>
                <w:szCs w:val="20"/>
              </w:rPr>
              <w:t>s</w:t>
            </w:r>
            <w:r w:rsidRPr="004D4906">
              <w:rPr>
                <w:rFonts w:ascii="Arial" w:hAnsi="Arial" w:cs="Arial"/>
                <w:sz w:val="20"/>
                <w:szCs w:val="20"/>
              </w:rPr>
              <w:t xml:space="preserve"> pro rata on an as-converted basis.]</w:t>
            </w:r>
          </w:p>
          <w:p w14:paraId="1EC16247" w14:textId="5488B5FE" w:rsidR="00DD2457" w:rsidRPr="004D4906" w:rsidRDefault="00DD2457" w:rsidP="00FD57EE">
            <w:pPr>
              <w:pStyle w:val="TableText"/>
              <w:rPr>
                <w:rFonts w:ascii="Arial" w:hAnsi="Arial" w:cs="Arial"/>
                <w:sz w:val="20"/>
                <w:szCs w:val="20"/>
              </w:rPr>
            </w:pPr>
            <w:r w:rsidRPr="004D4906">
              <w:rPr>
                <w:rFonts w:ascii="Arial" w:hAnsi="Arial" w:cs="Arial"/>
                <w:sz w:val="20"/>
                <w:szCs w:val="20"/>
              </w:rPr>
              <w:t>[</w:t>
            </w:r>
            <w:r w:rsidRPr="004D4906">
              <w:rPr>
                <w:rFonts w:ascii="Arial" w:hAnsi="Arial" w:cs="Arial"/>
                <w:i/>
                <w:iCs/>
                <w:sz w:val="20"/>
                <w:szCs w:val="20"/>
              </w:rPr>
              <w:t xml:space="preserve">Alternative 3 (cap on </w:t>
            </w:r>
            <w:r w:rsidR="00C44739">
              <w:rPr>
                <w:rFonts w:ascii="Arial" w:hAnsi="Arial" w:cs="Arial"/>
                <w:i/>
                <w:iCs/>
                <w:sz w:val="20"/>
                <w:szCs w:val="20"/>
              </w:rPr>
              <w:t>Preference</w:t>
            </w:r>
            <w:r w:rsidRPr="004D4906">
              <w:rPr>
                <w:rFonts w:ascii="Arial" w:hAnsi="Arial" w:cs="Arial"/>
                <w:i/>
                <w:iCs/>
                <w:sz w:val="20"/>
                <w:szCs w:val="20"/>
              </w:rPr>
              <w:t xml:space="preserve"> </w:t>
            </w:r>
            <w:r w:rsidR="004527B6" w:rsidRPr="004D4906">
              <w:rPr>
                <w:rFonts w:ascii="Arial" w:hAnsi="Arial" w:cs="Arial"/>
                <w:i/>
                <w:iCs/>
                <w:sz w:val="20"/>
                <w:szCs w:val="20"/>
              </w:rPr>
              <w:t>Share</w:t>
            </w:r>
            <w:r w:rsidRPr="004D4906">
              <w:rPr>
                <w:rFonts w:ascii="Arial" w:hAnsi="Arial" w:cs="Arial"/>
                <w:i/>
                <w:iCs/>
                <w:sz w:val="20"/>
                <w:szCs w:val="20"/>
              </w:rPr>
              <w:t xml:space="preserve"> participation rights)</w:t>
            </w:r>
            <w:r w:rsidRPr="004D4906">
              <w:rPr>
                <w:rFonts w:ascii="Arial" w:hAnsi="Arial" w:cs="Arial"/>
                <w:sz w:val="20"/>
                <w:szCs w:val="20"/>
              </w:rPr>
              <w:t xml:space="preserve">:  First pay </w:t>
            </w:r>
            <w:r w:rsidR="0098572D" w:rsidRPr="004A6DDB">
              <w:rPr>
                <w:rFonts w:ascii="Arial" w:hAnsi="Arial" w:cs="Arial"/>
                <w:sz w:val="20"/>
                <w:szCs w:val="20"/>
              </w:rPr>
              <w:t>[●]</w:t>
            </w:r>
            <w:r w:rsidRPr="004D4906">
              <w:rPr>
                <w:rFonts w:ascii="Arial" w:hAnsi="Arial" w:cs="Arial"/>
                <w:sz w:val="20"/>
                <w:szCs w:val="20"/>
              </w:rPr>
              <w:t xml:space="preserve"> times] the Original </w:t>
            </w:r>
            <w:r w:rsidR="007C7FB4" w:rsidRPr="004D4906">
              <w:rPr>
                <w:rFonts w:ascii="Arial" w:hAnsi="Arial" w:cs="Arial"/>
                <w:sz w:val="20"/>
                <w:szCs w:val="20"/>
              </w:rPr>
              <w:t>Subscription</w:t>
            </w:r>
            <w:r w:rsidR="007C7FB4" w:rsidRPr="004D4906" w:rsidDel="007C7FB4">
              <w:rPr>
                <w:rFonts w:ascii="Arial" w:hAnsi="Arial" w:cs="Arial"/>
                <w:sz w:val="20"/>
                <w:szCs w:val="20"/>
              </w:rPr>
              <w:t xml:space="preserve"> </w:t>
            </w:r>
            <w:r w:rsidRPr="004D4906">
              <w:rPr>
                <w:rFonts w:ascii="Arial" w:hAnsi="Arial" w:cs="Arial"/>
                <w:sz w:val="20"/>
                <w:szCs w:val="20"/>
              </w:rPr>
              <w:t xml:space="preserve">Price [plus accrued and declared and unpaid dividends] on each Series A </w:t>
            </w:r>
            <w:r w:rsidR="00976120" w:rsidRPr="004D4906">
              <w:rPr>
                <w:rFonts w:ascii="Arial" w:hAnsi="Arial" w:cs="Arial"/>
                <w:sz w:val="20"/>
                <w:szCs w:val="20"/>
              </w:rPr>
              <w:t>Share</w:t>
            </w:r>
            <w:r w:rsidRPr="004D4906">
              <w:rPr>
                <w:rFonts w:ascii="Arial" w:hAnsi="Arial" w:cs="Arial"/>
                <w:sz w:val="20"/>
                <w:szCs w:val="20"/>
              </w:rPr>
              <w:t xml:space="preserve">.  Thereafter, </w:t>
            </w:r>
            <w:r w:rsidR="001A7801" w:rsidRPr="004D4906">
              <w:rPr>
                <w:rFonts w:ascii="Arial" w:hAnsi="Arial" w:cs="Arial"/>
                <w:sz w:val="20"/>
                <w:szCs w:val="20"/>
              </w:rPr>
              <w:t>Series A Shares</w:t>
            </w:r>
            <w:r w:rsidRPr="004D4906">
              <w:rPr>
                <w:rFonts w:ascii="Arial" w:hAnsi="Arial" w:cs="Arial"/>
                <w:sz w:val="20"/>
                <w:szCs w:val="20"/>
              </w:rPr>
              <w:t xml:space="preserve"> participate with </w:t>
            </w:r>
            <w:r w:rsidR="00F9379B" w:rsidRPr="004D4906">
              <w:rPr>
                <w:rFonts w:ascii="Arial" w:hAnsi="Arial" w:cs="Arial"/>
                <w:sz w:val="20"/>
                <w:szCs w:val="20"/>
              </w:rPr>
              <w:t>Ordinary</w:t>
            </w:r>
            <w:r w:rsidRPr="004D4906">
              <w:rPr>
                <w:rFonts w:ascii="Arial" w:hAnsi="Arial" w:cs="Arial"/>
                <w:sz w:val="20"/>
                <w:szCs w:val="20"/>
              </w:rPr>
              <w:t xml:space="preserve"> </w:t>
            </w:r>
            <w:r w:rsidR="004527B6" w:rsidRPr="004D4906">
              <w:rPr>
                <w:rFonts w:ascii="Arial" w:hAnsi="Arial" w:cs="Arial"/>
                <w:sz w:val="20"/>
                <w:szCs w:val="20"/>
              </w:rPr>
              <w:t>Share</w:t>
            </w:r>
            <w:r w:rsidR="006868CA" w:rsidRPr="004D4906">
              <w:rPr>
                <w:rFonts w:ascii="Arial" w:hAnsi="Arial" w:cs="Arial"/>
                <w:sz w:val="20"/>
                <w:szCs w:val="20"/>
              </w:rPr>
              <w:t>s</w:t>
            </w:r>
            <w:r w:rsidRPr="004D4906">
              <w:rPr>
                <w:rFonts w:ascii="Arial" w:hAnsi="Arial" w:cs="Arial"/>
                <w:sz w:val="20"/>
                <w:szCs w:val="20"/>
              </w:rPr>
              <w:t xml:space="preserve"> pro rata on an as-converted basis</w:t>
            </w:r>
            <w:r w:rsidRPr="004D4906">
              <w:rPr>
                <w:rFonts w:ascii="Arial" w:hAnsi="Arial" w:cs="Arial"/>
                <w:i/>
                <w:iCs/>
                <w:sz w:val="20"/>
                <w:szCs w:val="20"/>
              </w:rPr>
              <w:t xml:space="preserve"> </w:t>
            </w:r>
            <w:r w:rsidRPr="004D4906">
              <w:rPr>
                <w:rFonts w:ascii="Arial" w:hAnsi="Arial" w:cs="Arial"/>
                <w:sz w:val="20"/>
                <w:szCs w:val="20"/>
              </w:rPr>
              <w:t xml:space="preserve">until the </w:t>
            </w:r>
            <w:r w:rsidR="001A7801" w:rsidRPr="004D4906">
              <w:rPr>
                <w:rFonts w:ascii="Arial" w:hAnsi="Arial" w:cs="Arial"/>
                <w:sz w:val="20"/>
                <w:szCs w:val="20"/>
              </w:rPr>
              <w:t>Series A Share</w:t>
            </w:r>
            <w:r w:rsidR="00AC25D1" w:rsidRPr="004D4906">
              <w:rPr>
                <w:rFonts w:ascii="Arial" w:hAnsi="Arial" w:cs="Arial"/>
                <w:sz w:val="20"/>
                <w:szCs w:val="20"/>
              </w:rPr>
              <w:t>holders</w:t>
            </w:r>
            <w:r w:rsidRPr="004D4906">
              <w:rPr>
                <w:rFonts w:ascii="Arial" w:hAnsi="Arial" w:cs="Arial"/>
                <w:sz w:val="20"/>
                <w:szCs w:val="20"/>
              </w:rPr>
              <w:t xml:space="preserve"> receive an aggregate of</w:t>
            </w:r>
            <w:r w:rsidRPr="004D4906">
              <w:rPr>
                <w:rFonts w:ascii="Arial" w:hAnsi="Arial" w:cs="Arial"/>
                <w:i/>
                <w:iCs/>
                <w:sz w:val="20"/>
                <w:szCs w:val="20"/>
              </w:rPr>
              <w:t xml:space="preserve"> </w:t>
            </w:r>
            <w:r w:rsidR="0098572D" w:rsidRPr="004A6DDB">
              <w:rPr>
                <w:rFonts w:ascii="Arial" w:hAnsi="Arial" w:cs="Arial"/>
                <w:sz w:val="20"/>
                <w:szCs w:val="20"/>
              </w:rPr>
              <w:t>[●]</w:t>
            </w:r>
            <w:r w:rsidRPr="004D4906">
              <w:rPr>
                <w:rFonts w:ascii="Arial" w:hAnsi="Arial" w:cs="Arial"/>
                <w:sz w:val="20"/>
                <w:szCs w:val="20"/>
              </w:rPr>
              <w:t xml:space="preserve"> times the Original </w:t>
            </w:r>
            <w:r w:rsidR="007C7FB4" w:rsidRPr="004D4906">
              <w:rPr>
                <w:rFonts w:ascii="Arial" w:hAnsi="Arial" w:cs="Arial"/>
                <w:sz w:val="20"/>
                <w:szCs w:val="20"/>
              </w:rPr>
              <w:t>Subscription</w:t>
            </w:r>
            <w:r w:rsidR="007C7FB4" w:rsidRPr="004D4906" w:rsidDel="007C7FB4">
              <w:rPr>
                <w:rFonts w:ascii="Arial" w:hAnsi="Arial" w:cs="Arial"/>
                <w:sz w:val="20"/>
                <w:szCs w:val="20"/>
              </w:rPr>
              <w:t xml:space="preserve"> </w:t>
            </w:r>
            <w:r w:rsidRPr="004D4906">
              <w:rPr>
                <w:rFonts w:ascii="Arial" w:hAnsi="Arial" w:cs="Arial"/>
                <w:sz w:val="20"/>
                <w:szCs w:val="20"/>
              </w:rPr>
              <w:t>Price (including the amount paid pursuant to the preceding sentence).]</w:t>
            </w:r>
          </w:p>
          <w:p w14:paraId="1270F340" w14:textId="3D6C90F2" w:rsidR="00AF71E9" w:rsidRPr="004D4906" w:rsidRDefault="00341F4D" w:rsidP="00FD57EE">
            <w:pPr>
              <w:pStyle w:val="TableText"/>
              <w:rPr>
                <w:rFonts w:ascii="Arial" w:hAnsi="Arial" w:cs="Arial"/>
                <w:sz w:val="20"/>
                <w:szCs w:val="20"/>
              </w:rPr>
            </w:pPr>
            <w:r w:rsidRPr="004D4906">
              <w:rPr>
                <w:rFonts w:ascii="Arial" w:hAnsi="Arial" w:cs="Arial"/>
                <w:b/>
                <w:bCs/>
                <w:sz w:val="20"/>
                <w:szCs w:val="20"/>
              </w:rPr>
              <w:t>Liquidity Event:</w:t>
            </w:r>
            <w:r w:rsidRPr="004D4906">
              <w:rPr>
                <w:rFonts w:ascii="Arial" w:hAnsi="Arial" w:cs="Arial"/>
                <w:sz w:val="20"/>
                <w:szCs w:val="20"/>
              </w:rPr>
              <w:t xml:space="preserve"> </w:t>
            </w:r>
            <w:r w:rsidR="00DD2457" w:rsidRPr="004D4906">
              <w:rPr>
                <w:rFonts w:ascii="Arial" w:hAnsi="Arial" w:cs="Arial"/>
                <w:sz w:val="20"/>
                <w:szCs w:val="20"/>
              </w:rPr>
              <w:t xml:space="preserve">A merger or consolidation (other than one in which </w:t>
            </w:r>
            <w:r w:rsidR="004527B6" w:rsidRPr="004D4906">
              <w:rPr>
                <w:rFonts w:ascii="Arial" w:hAnsi="Arial" w:cs="Arial"/>
                <w:sz w:val="20"/>
                <w:szCs w:val="20"/>
              </w:rPr>
              <w:t>Share</w:t>
            </w:r>
            <w:r w:rsidR="00DD2457" w:rsidRPr="004D4906">
              <w:rPr>
                <w:rFonts w:ascii="Arial" w:hAnsi="Arial" w:cs="Arial"/>
                <w:sz w:val="20"/>
                <w:szCs w:val="20"/>
              </w:rPr>
              <w:t xml:space="preserve">holders of the Company own a majority by voting power of the </w:t>
            </w:r>
            <w:r w:rsidR="00C44739">
              <w:rPr>
                <w:rFonts w:ascii="Arial" w:hAnsi="Arial" w:cs="Arial"/>
                <w:sz w:val="20"/>
                <w:szCs w:val="20"/>
              </w:rPr>
              <w:t>issued</w:t>
            </w:r>
            <w:r w:rsidR="00DD2457" w:rsidRPr="004D4906">
              <w:rPr>
                <w:rFonts w:ascii="Arial" w:hAnsi="Arial" w:cs="Arial"/>
                <w:sz w:val="20"/>
                <w:szCs w:val="20"/>
              </w:rPr>
              <w:t xml:space="preserve"> shares of the surviving or acquiring corporation) or a sale, lease, transfer, exclusive license</w:t>
            </w:r>
            <w:r w:rsidR="00DD2457" w:rsidRPr="004D4906">
              <w:rPr>
                <w:rFonts w:ascii="Arial" w:hAnsi="Arial" w:cs="Arial"/>
                <w:b/>
                <w:sz w:val="20"/>
                <w:szCs w:val="20"/>
              </w:rPr>
              <w:t xml:space="preserve"> </w:t>
            </w:r>
            <w:r w:rsidR="00DD2457" w:rsidRPr="004D4906">
              <w:rPr>
                <w:rFonts w:ascii="Arial" w:hAnsi="Arial" w:cs="Arial"/>
                <w:sz w:val="20"/>
                <w:szCs w:val="20"/>
              </w:rPr>
              <w:t xml:space="preserve">or other disposition of all or substantially all of the assets of the Company will be treated as a </w:t>
            </w:r>
            <w:r w:rsidR="00467B0E" w:rsidRPr="004D4906">
              <w:rPr>
                <w:rFonts w:ascii="Arial" w:hAnsi="Arial" w:cs="Arial"/>
                <w:b/>
                <w:bCs/>
                <w:sz w:val="20"/>
                <w:szCs w:val="20"/>
              </w:rPr>
              <w:t xml:space="preserve"> “</w:t>
            </w:r>
            <w:r w:rsidR="00745410" w:rsidRPr="004D4906">
              <w:rPr>
                <w:rFonts w:ascii="Arial" w:hAnsi="Arial" w:cs="Arial"/>
                <w:b/>
                <w:bCs/>
                <w:sz w:val="20"/>
                <w:szCs w:val="20"/>
              </w:rPr>
              <w:t>Liquidity</w:t>
            </w:r>
            <w:r w:rsidR="00DD2457" w:rsidRPr="004D4906">
              <w:rPr>
                <w:rFonts w:ascii="Arial" w:hAnsi="Arial" w:cs="Arial"/>
                <w:b/>
                <w:bCs/>
                <w:sz w:val="20"/>
                <w:szCs w:val="20"/>
              </w:rPr>
              <w:t xml:space="preserve"> Event</w:t>
            </w:r>
            <w:r w:rsidR="00DD2457" w:rsidRPr="004D4906">
              <w:rPr>
                <w:rFonts w:ascii="Arial" w:hAnsi="Arial" w:cs="Arial"/>
                <w:sz w:val="20"/>
                <w:szCs w:val="20"/>
              </w:rPr>
              <w:t>”</w:t>
            </w:r>
            <w:r w:rsidRPr="004D4906">
              <w:rPr>
                <w:rFonts w:ascii="Arial" w:hAnsi="Arial" w:cs="Arial"/>
                <w:sz w:val="20"/>
                <w:szCs w:val="20"/>
              </w:rPr>
              <w:t xml:space="preserve">.  A </w:t>
            </w:r>
            <w:r w:rsidR="00467B0E" w:rsidRPr="004D4906">
              <w:rPr>
                <w:rFonts w:ascii="Arial" w:hAnsi="Arial" w:cs="Arial"/>
                <w:sz w:val="20"/>
                <w:szCs w:val="20"/>
              </w:rPr>
              <w:t>Liquidity</w:t>
            </w:r>
            <w:r w:rsidRPr="004D4906">
              <w:rPr>
                <w:rFonts w:ascii="Arial" w:hAnsi="Arial" w:cs="Arial"/>
                <w:sz w:val="20"/>
                <w:szCs w:val="20"/>
              </w:rPr>
              <w:t xml:space="preserve"> Event will also </w:t>
            </w:r>
            <w:r w:rsidR="00DD2457" w:rsidRPr="004D4906">
              <w:rPr>
                <w:rFonts w:ascii="Arial" w:hAnsi="Arial" w:cs="Arial"/>
                <w:sz w:val="20"/>
                <w:szCs w:val="20"/>
              </w:rPr>
              <w:t xml:space="preserve">trigger payment of the </w:t>
            </w:r>
            <w:r w:rsidR="00467B0E" w:rsidRPr="004D4906">
              <w:rPr>
                <w:rFonts w:ascii="Arial" w:hAnsi="Arial" w:cs="Arial"/>
                <w:sz w:val="20"/>
                <w:szCs w:val="20"/>
              </w:rPr>
              <w:t>Liquidity Preference</w:t>
            </w:r>
            <w:r w:rsidR="00DD2457" w:rsidRPr="004D4906">
              <w:rPr>
                <w:rFonts w:ascii="Arial" w:hAnsi="Arial" w:cs="Arial"/>
                <w:sz w:val="20"/>
                <w:szCs w:val="20"/>
              </w:rPr>
              <w:t>s described above</w:t>
            </w:r>
            <w:r w:rsidRPr="004D4906">
              <w:rPr>
                <w:rFonts w:ascii="Arial" w:hAnsi="Arial" w:cs="Arial"/>
                <w:sz w:val="20"/>
                <w:szCs w:val="20"/>
              </w:rPr>
              <w:t>,</w:t>
            </w:r>
            <w:r w:rsidR="00DD2457" w:rsidRPr="004D4906">
              <w:rPr>
                <w:rFonts w:ascii="Arial" w:hAnsi="Arial" w:cs="Arial"/>
                <w:sz w:val="20"/>
                <w:szCs w:val="20"/>
              </w:rPr>
              <w:t xml:space="preserve"> unless</w:t>
            </w:r>
            <w:r w:rsidR="00D15BE7">
              <w:rPr>
                <w:rFonts w:ascii="Arial" w:hAnsi="Arial" w:cs="Arial"/>
                <w:sz w:val="20"/>
                <w:szCs w:val="20"/>
              </w:rPr>
              <w:t xml:space="preserve"> </w:t>
            </w:r>
            <w:r w:rsidR="00DD2457" w:rsidRPr="004D4906">
              <w:rPr>
                <w:rFonts w:ascii="Arial" w:hAnsi="Arial" w:cs="Arial"/>
                <w:sz w:val="20"/>
                <w:szCs w:val="20"/>
              </w:rPr>
              <w:t xml:space="preserve">the holders of </w:t>
            </w:r>
            <w:r w:rsidR="0098572D" w:rsidRPr="004A6DDB">
              <w:rPr>
                <w:rFonts w:ascii="Arial" w:hAnsi="Arial" w:cs="Arial"/>
                <w:sz w:val="20"/>
                <w:szCs w:val="20"/>
              </w:rPr>
              <w:t>[●]</w:t>
            </w:r>
            <w:r w:rsidR="00DD2457" w:rsidRPr="004D4906">
              <w:rPr>
                <w:rFonts w:ascii="Arial" w:hAnsi="Arial" w:cs="Arial"/>
                <w:sz w:val="20"/>
                <w:szCs w:val="20"/>
              </w:rPr>
              <w:t xml:space="preserve">% </w:t>
            </w:r>
            <w:r w:rsidR="00D15BE7">
              <w:rPr>
                <w:rFonts w:ascii="Arial" w:hAnsi="Arial" w:cs="Arial"/>
                <w:sz w:val="20"/>
                <w:szCs w:val="20"/>
              </w:rPr>
              <w:t>[</w:t>
            </w:r>
            <w:r w:rsidR="00DD2457" w:rsidRPr="004D4906">
              <w:rPr>
                <w:rFonts w:ascii="Arial" w:hAnsi="Arial" w:cs="Arial"/>
                <w:sz w:val="20"/>
                <w:szCs w:val="20"/>
              </w:rPr>
              <w:t xml:space="preserve">of the </w:t>
            </w:r>
            <w:r w:rsidR="001A7801" w:rsidRPr="004D4906">
              <w:rPr>
                <w:rFonts w:ascii="Arial" w:hAnsi="Arial" w:cs="Arial"/>
                <w:sz w:val="20"/>
                <w:szCs w:val="20"/>
              </w:rPr>
              <w:t>Series A Shares</w:t>
            </w:r>
            <w:r w:rsidR="00D15BE7">
              <w:rPr>
                <w:rFonts w:ascii="Arial" w:hAnsi="Arial" w:cs="Arial"/>
                <w:sz w:val="20"/>
                <w:szCs w:val="20"/>
              </w:rPr>
              <w:t xml:space="preserve">][of the Shares in the Company </w:t>
            </w:r>
            <w:r w:rsidR="00A166F4">
              <w:rPr>
                <w:rFonts w:ascii="Arial" w:hAnsi="Arial" w:cs="Arial"/>
                <w:sz w:val="20"/>
                <w:szCs w:val="20"/>
              </w:rPr>
              <w:t>o</w:t>
            </w:r>
            <w:r w:rsidR="00D15BE7">
              <w:rPr>
                <w:rFonts w:ascii="Arial" w:hAnsi="Arial" w:cs="Arial"/>
                <w:sz w:val="20"/>
                <w:szCs w:val="20"/>
              </w:rPr>
              <w:t>n an as-converted basis]</w:t>
            </w:r>
            <w:r w:rsidR="00DD2457" w:rsidRPr="004D4906">
              <w:rPr>
                <w:rFonts w:ascii="Arial" w:hAnsi="Arial" w:cs="Arial"/>
                <w:sz w:val="20"/>
                <w:szCs w:val="20"/>
              </w:rPr>
              <w:t xml:space="preserve"> elect otherwise (the “</w:t>
            </w:r>
            <w:r w:rsidR="006868CA" w:rsidRPr="004D4906">
              <w:rPr>
                <w:rFonts w:ascii="Arial" w:hAnsi="Arial" w:cs="Arial"/>
                <w:b/>
                <w:bCs/>
                <w:sz w:val="20"/>
                <w:szCs w:val="20"/>
              </w:rPr>
              <w:t>Investor Majority</w:t>
            </w:r>
            <w:r w:rsidR="00DD2457" w:rsidRPr="004D4906">
              <w:rPr>
                <w:rFonts w:ascii="Arial" w:hAnsi="Arial" w:cs="Arial"/>
                <w:sz w:val="20"/>
                <w:szCs w:val="20"/>
              </w:rPr>
              <w:t xml:space="preserve">”).  </w:t>
            </w:r>
          </w:p>
          <w:p w14:paraId="7BE3F516" w14:textId="52E5D530" w:rsidR="00DD2457" w:rsidRPr="004D4906" w:rsidRDefault="00DD2457" w:rsidP="00FD57EE">
            <w:pPr>
              <w:pStyle w:val="TableText"/>
              <w:rPr>
                <w:rFonts w:ascii="Arial" w:hAnsi="Arial" w:cs="Arial"/>
                <w:sz w:val="20"/>
                <w:szCs w:val="20"/>
                <w:vertAlign w:val="superscript"/>
              </w:rPr>
            </w:pPr>
            <w:r w:rsidRPr="004D4906">
              <w:rPr>
                <w:rFonts w:ascii="Arial" w:hAnsi="Arial" w:cs="Arial"/>
                <w:sz w:val="20"/>
                <w:szCs w:val="20"/>
              </w:rPr>
              <w:t xml:space="preserve">The Investors’ entitlement to their </w:t>
            </w:r>
            <w:r w:rsidR="00341F4D" w:rsidRPr="004D4906">
              <w:rPr>
                <w:rFonts w:ascii="Arial" w:hAnsi="Arial" w:cs="Arial"/>
                <w:sz w:val="20"/>
                <w:szCs w:val="20"/>
              </w:rPr>
              <w:t xml:space="preserve">Liquidity Preference </w:t>
            </w:r>
            <w:r w:rsidRPr="004D4906">
              <w:rPr>
                <w:rFonts w:ascii="Arial" w:hAnsi="Arial" w:cs="Arial"/>
                <w:sz w:val="20"/>
                <w:szCs w:val="20"/>
              </w:rPr>
              <w:t xml:space="preserve">shall not be abrogated or diminished in the event </w:t>
            </w:r>
            <w:r w:rsidR="00AF71E9" w:rsidRPr="004D4906">
              <w:rPr>
                <w:rFonts w:ascii="Arial" w:hAnsi="Arial" w:cs="Arial"/>
                <w:sz w:val="20"/>
                <w:szCs w:val="20"/>
              </w:rPr>
              <w:t xml:space="preserve">that </w:t>
            </w:r>
            <w:r w:rsidRPr="004D4906">
              <w:rPr>
                <w:rFonts w:ascii="Arial" w:hAnsi="Arial" w:cs="Arial"/>
                <w:sz w:val="20"/>
                <w:szCs w:val="20"/>
              </w:rPr>
              <w:t xml:space="preserve">part of the consideration is subject to escrow or indemnity holdback in connection with a </w:t>
            </w:r>
            <w:r w:rsidR="00745410" w:rsidRPr="004D4906">
              <w:rPr>
                <w:rFonts w:ascii="Arial" w:hAnsi="Arial" w:cs="Arial"/>
                <w:sz w:val="20"/>
                <w:szCs w:val="20"/>
              </w:rPr>
              <w:t>Liquidity</w:t>
            </w:r>
            <w:r w:rsidRPr="004D4906">
              <w:rPr>
                <w:rFonts w:ascii="Arial" w:hAnsi="Arial" w:cs="Arial"/>
                <w:sz w:val="20"/>
                <w:szCs w:val="20"/>
              </w:rPr>
              <w:t xml:space="preserve"> Event.</w:t>
            </w:r>
            <w:r w:rsidR="00C35D8F" w:rsidRPr="004D4906" w:rsidDel="00C35D8F">
              <w:rPr>
                <w:rStyle w:val="FootnoteReference"/>
                <w:rFonts w:ascii="Arial" w:hAnsi="Arial" w:cs="Arial"/>
                <w:bCs/>
                <w:szCs w:val="20"/>
              </w:rPr>
              <w:t xml:space="preserve"> </w:t>
            </w:r>
          </w:p>
        </w:tc>
      </w:tr>
      <w:tr w:rsidR="00C67D7D" w:rsidRPr="004D4906" w14:paraId="2BBFF4B6" w14:textId="77777777" w:rsidTr="001D1564">
        <w:tc>
          <w:tcPr>
            <w:tcW w:w="2010" w:type="pct"/>
            <w:tcBorders>
              <w:top w:val="nil"/>
              <w:left w:val="nil"/>
              <w:bottom w:val="nil"/>
              <w:right w:val="nil"/>
            </w:tcBorders>
          </w:tcPr>
          <w:p w14:paraId="7BC7FE2B" w14:textId="4D7652AD" w:rsidR="00C67D7D" w:rsidRPr="004D4906" w:rsidRDefault="00C67D7D" w:rsidP="00FD57EE">
            <w:pPr>
              <w:pStyle w:val="TableItalics"/>
              <w:rPr>
                <w:rFonts w:ascii="Arial" w:hAnsi="Arial" w:cs="Arial"/>
                <w:sz w:val="20"/>
                <w:szCs w:val="20"/>
              </w:rPr>
            </w:pPr>
            <w:r w:rsidRPr="004D4906">
              <w:rPr>
                <w:rFonts w:ascii="Arial" w:hAnsi="Arial" w:cs="Arial"/>
                <w:sz w:val="20"/>
                <w:szCs w:val="20"/>
              </w:rPr>
              <w:lastRenderedPageBreak/>
              <w:t>Conversion</w:t>
            </w:r>
          </w:p>
        </w:tc>
        <w:tc>
          <w:tcPr>
            <w:tcW w:w="2990" w:type="pct"/>
            <w:tcBorders>
              <w:top w:val="nil"/>
              <w:left w:val="nil"/>
              <w:bottom w:val="nil"/>
              <w:right w:val="nil"/>
            </w:tcBorders>
          </w:tcPr>
          <w:p w14:paraId="426EB26E" w14:textId="09015BC6" w:rsidR="00C67D7D" w:rsidRPr="004D4906" w:rsidRDefault="00C67D7D" w:rsidP="00701EC6">
            <w:pPr>
              <w:pStyle w:val="TableText"/>
              <w:rPr>
                <w:rFonts w:ascii="Arial" w:hAnsi="Arial" w:cs="Arial"/>
                <w:sz w:val="20"/>
                <w:szCs w:val="20"/>
              </w:rPr>
            </w:pPr>
            <w:r w:rsidRPr="004D4906">
              <w:rPr>
                <w:rFonts w:ascii="Arial" w:hAnsi="Arial" w:cs="Arial"/>
                <w:sz w:val="20"/>
                <w:szCs w:val="20"/>
              </w:rPr>
              <w:t xml:space="preserve">Series A Shares </w:t>
            </w:r>
            <w:r w:rsidR="00701EC6" w:rsidRPr="004D4906">
              <w:rPr>
                <w:rFonts w:ascii="Arial" w:hAnsi="Arial" w:cs="Arial"/>
                <w:sz w:val="20"/>
                <w:szCs w:val="20"/>
              </w:rPr>
              <w:t>may be converted</w:t>
            </w:r>
            <w:r w:rsidRPr="004D4906">
              <w:rPr>
                <w:rFonts w:ascii="Arial" w:hAnsi="Arial" w:cs="Arial"/>
                <w:sz w:val="20"/>
                <w:szCs w:val="20"/>
              </w:rPr>
              <w:t xml:space="preserve"> into Ordinary Shares,</w:t>
            </w:r>
            <w:r w:rsidR="00701EC6" w:rsidRPr="004D4906">
              <w:rPr>
                <w:rFonts w:ascii="Arial" w:hAnsi="Arial" w:cs="Arial"/>
                <w:sz w:val="20"/>
                <w:szCs w:val="20"/>
              </w:rPr>
              <w:t xml:space="preserve"> either at the option of the </w:t>
            </w:r>
            <w:r w:rsidR="00F4447A" w:rsidRPr="004D4906">
              <w:rPr>
                <w:rFonts w:ascii="Arial" w:hAnsi="Arial" w:cs="Arial"/>
                <w:sz w:val="20"/>
                <w:szCs w:val="20"/>
              </w:rPr>
              <w:t>holder</w:t>
            </w:r>
            <w:r w:rsidR="00701EC6" w:rsidRPr="004D4906">
              <w:rPr>
                <w:rFonts w:ascii="Arial" w:hAnsi="Arial" w:cs="Arial"/>
                <w:sz w:val="20"/>
                <w:szCs w:val="20"/>
              </w:rPr>
              <w:t xml:space="preserve">, or </w:t>
            </w:r>
            <w:r w:rsidR="00BB2710">
              <w:rPr>
                <w:rFonts w:ascii="Arial" w:hAnsi="Arial" w:cs="Arial"/>
                <w:sz w:val="20"/>
                <w:szCs w:val="20"/>
              </w:rPr>
              <w:t>automatically</w:t>
            </w:r>
            <w:r w:rsidR="00701EC6" w:rsidRPr="004D4906">
              <w:rPr>
                <w:rFonts w:ascii="Arial" w:hAnsi="Arial" w:cs="Arial"/>
                <w:sz w:val="20"/>
                <w:szCs w:val="20"/>
              </w:rPr>
              <w:t xml:space="preserve">, as described below. The Conversion will take place at a price equal to </w:t>
            </w:r>
            <w:r w:rsidR="00BB2710">
              <w:rPr>
                <w:rFonts w:ascii="Arial" w:hAnsi="Arial" w:cs="Arial"/>
                <w:sz w:val="20"/>
                <w:szCs w:val="20"/>
              </w:rPr>
              <w:t xml:space="preserve">the </w:t>
            </w:r>
            <w:r w:rsidR="00701EC6" w:rsidRPr="004D4906">
              <w:rPr>
                <w:rFonts w:ascii="Arial" w:hAnsi="Arial" w:cs="Arial"/>
                <w:sz w:val="20"/>
                <w:szCs w:val="20"/>
              </w:rPr>
              <w:t>Conversion Price</w:t>
            </w:r>
            <w:r w:rsidR="00BB2710">
              <w:rPr>
                <w:rFonts w:ascii="Arial" w:hAnsi="Arial" w:cs="Arial"/>
                <w:sz w:val="20"/>
                <w:szCs w:val="20"/>
              </w:rPr>
              <w:t xml:space="preserve"> </w:t>
            </w:r>
            <w:r w:rsidR="00701EC6" w:rsidRPr="004D4906">
              <w:rPr>
                <w:rStyle w:val="FootnoteReference"/>
                <w:rFonts w:ascii="Arial" w:hAnsi="Arial" w:cs="Arial"/>
                <w:szCs w:val="20"/>
              </w:rPr>
              <w:footnoteReference w:id="12"/>
            </w:r>
            <w:r w:rsidR="00701EC6" w:rsidRPr="004D4906">
              <w:rPr>
                <w:rFonts w:ascii="Arial" w:hAnsi="Arial" w:cs="Arial"/>
                <w:sz w:val="20"/>
                <w:szCs w:val="20"/>
              </w:rPr>
              <w:t>.</w:t>
            </w:r>
          </w:p>
        </w:tc>
      </w:tr>
      <w:tr w:rsidR="00DD2457" w:rsidRPr="004D4906" w14:paraId="57FD69AF" w14:textId="77777777" w:rsidTr="001D1564">
        <w:tc>
          <w:tcPr>
            <w:tcW w:w="2010" w:type="pct"/>
            <w:tcBorders>
              <w:top w:val="nil"/>
              <w:left w:val="nil"/>
              <w:bottom w:val="nil"/>
              <w:right w:val="nil"/>
            </w:tcBorders>
          </w:tcPr>
          <w:p w14:paraId="209D94E5" w14:textId="77777777" w:rsidR="00DD2457" w:rsidRPr="004D4906" w:rsidRDefault="00DD2457" w:rsidP="00FD57EE">
            <w:pPr>
              <w:pStyle w:val="TableItalics"/>
              <w:rPr>
                <w:rFonts w:ascii="Arial" w:hAnsi="Arial" w:cs="Arial"/>
                <w:sz w:val="20"/>
                <w:szCs w:val="20"/>
              </w:rPr>
            </w:pPr>
            <w:r w:rsidRPr="004D4906">
              <w:rPr>
                <w:rFonts w:ascii="Arial" w:hAnsi="Arial" w:cs="Arial"/>
                <w:sz w:val="20"/>
                <w:szCs w:val="20"/>
              </w:rPr>
              <w:br w:type="page"/>
              <w:t>Optional Conversion:</w:t>
            </w:r>
          </w:p>
        </w:tc>
        <w:tc>
          <w:tcPr>
            <w:tcW w:w="2990" w:type="pct"/>
            <w:tcBorders>
              <w:top w:val="nil"/>
              <w:left w:val="nil"/>
              <w:bottom w:val="nil"/>
              <w:right w:val="nil"/>
            </w:tcBorders>
          </w:tcPr>
          <w:p w14:paraId="5865E48A" w14:textId="190ECBC2" w:rsidR="00DD2457" w:rsidRPr="004D4906" w:rsidRDefault="00826D30" w:rsidP="00FD57EE">
            <w:pPr>
              <w:pStyle w:val="TableText"/>
              <w:rPr>
                <w:rFonts w:ascii="Arial" w:hAnsi="Arial" w:cs="Arial"/>
                <w:sz w:val="20"/>
                <w:szCs w:val="20"/>
              </w:rPr>
            </w:pPr>
            <w:r w:rsidRPr="004D4906">
              <w:rPr>
                <w:rFonts w:ascii="Arial" w:hAnsi="Arial" w:cs="Arial"/>
                <w:sz w:val="20"/>
                <w:szCs w:val="20"/>
              </w:rPr>
              <w:t xml:space="preserve"> The Series A Shares will convert at any time at option of [each holder of the Series A Shares][the Investor Majority]</w:t>
            </w:r>
            <w:r w:rsidR="001E7ED6" w:rsidRPr="004D4906">
              <w:rPr>
                <w:rStyle w:val="FootnoteReference"/>
                <w:rFonts w:ascii="Arial" w:hAnsi="Arial" w:cs="Arial"/>
                <w:szCs w:val="20"/>
              </w:rPr>
              <w:footnoteReference w:id="13"/>
            </w:r>
            <w:r w:rsidR="00DD2457" w:rsidRPr="004D4906">
              <w:rPr>
                <w:rFonts w:ascii="Arial" w:hAnsi="Arial" w:cs="Arial"/>
                <w:sz w:val="20"/>
                <w:szCs w:val="20"/>
              </w:rPr>
              <w:t xml:space="preserve">, subject to adjustments for </w:t>
            </w:r>
            <w:r w:rsidR="004527B6" w:rsidRPr="004D4906">
              <w:rPr>
                <w:rFonts w:ascii="Arial" w:hAnsi="Arial" w:cs="Arial"/>
                <w:sz w:val="20"/>
                <w:szCs w:val="20"/>
              </w:rPr>
              <w:t>Share</w:t>
            </w:r>
            <w:r w:rsidR="00DD2457" w:rsidRPr="004D4906">
              <w:rPr>
                <w:rFonts w:ascii="Arial" w:hAnsi="Arial" w:cs="Arial"/>
                <w:sz w:val="20"/>
                <w:szCs w:val="20"/>
              </w:rPr>
              <w:t xml:space="preserve"> dividends, splits, </w:t>
            </w:r>
            <w:r w:rsidR="00DD2457" w:rsidRPr="004D4906">
              <w:rPr>
                <w:rFonts w:ascii="Arial" w:hAnsi="Arial" w:cs="Arial"/>
                <w:sz w:val="20"/>
                <w:szCs w:val="20"/>
              </w:rPr>
              <w:lastRenderedPageBreak/>
              <w:t>combinations and similar events and as described below under “Anti-dilution Provisions.”</w:t>
            </w:r>
            <w:r w:rsidR="00C90FAD" w:rsidRPr="004D4906">
              <w:rPr>
                <w:rStyle w:val="FootnoteReference"/>
                <w:rFonts w:ascii="Arial" w:hAnsi="Arial" w:cs="Arial"/>
                <w:szCs w:val="20"/>
              </w:rPr>
              <w:footnoteReference w:id="14"/>
            </w:r>
            <w:r w:rsidR="00C90FAD" w:rsidRPr="004D4906">
              <w:rPr>
                <w:rFonts w:ascii="Arial" w:hAnsi="Arial" w:cs="Arial"/>
                <w:sz w:val="20"/>
                <w:szCs w:val="20"/>
              </w:rPr>
              <w:t xml:space="preserve">  </w:t>
            </w:r>
          </w:p>
        </w:tc>
      </w:tr>
      <w:tr w:rsidR="00DD2457" w:rsidRPr="004D4906" w14:paraId="1908D677" w14:textId="77777777" w:rsidTr="001D1564">
        <w:tc>
          <w:tcPr>
            <w:tcW w:w="2010" w:type="pct"/>
            <w:tcBorders>
              <w:top w:val="nil"/>
              <w:left w:val="nil"/>
              <w:bottom w:val="nil"/>
              <w:right w:val="nil"/>
            </w:tcBorders>
          </w:tcPr>
          <w:p w14:paraId="2FCC3977" w14:textId="6BA1253A" w:rsidR="00DD2457" w:rsidRPr="004D4906" w:rsidRDefault="00CD26F7" w:rsidP="004D4906">
            <w:pPr>
              <w:pStyle w:val="TableItalics"/>
              <w:keepNext/>
              <w:rPr>
                <w:rFonts w:ascii="Arial" w:hAnsi="Arial" w:cs="Arial"/>
                <w:sz w:val="20"/>
                <w:szCs w:val="20"/>
              </w:rPr>
            </w:pPr>
            <w:bookmarkStart w:id="38" w:name="Anti_Dilution"/>
            <w:bookmarkEnd w:id="38"/>
            <w:r w:rsidRPr="004D4906">
              <w:rPr>
                <w:rFonts w:ascii="Arial" w:hAnsi="Arial" w:cs="Arial"/>
                <w:sz w:val="20"/>
                <w:szCs w:val="20"/>
              </w:rPr>
              <w:lastRenderedPageBreak/>
              <w:t>Anti-Dilution Provisions</w:t>
            </w:r>
          </w:p>
        </w:tc>
        <w:tc>
          <w:tcPr>
            <w:tcW w:w="2990" w:type="pct"/>
            <w:tcBorders>
              <w:top w:val="nil"/>
              <w:left w:val="nil"/>
              <w:bottom w:val="nil"/>
              <w:right w:val="nil"/>
            </w:tcBorders>
          </w:tcPr>
          <w:p w14:paraId="48C54A5E" w14:textId="4BABCD88" w:rsidR="00DD2457" w:rsidRPr="004D4906" w:rsidRDefault="00862CC6" w:rsidP="004D4906">
            <w:pPr>
              <w:pStyle w:val="TableText"/>
              <w:keepNext/>
              <w:rPr>
                <w:rFonts w:ascii="Arial" w:hAnsi="Arial" w:cs="Arial"/>
                <w:sz w:val="20"/>
                <w:szCs w:val="20"/>
              </w:rPr>
            </w:pPr>
            <w:r w:rsidRPr="004D4906">
              <w:rPr>
                <w:rFonts w:ascii="Arial" w:hAnsi="Arial" w:cs="Arial"/>
                <w:sz w:val="20"/>
                <w:szCs w:val="20"/>
              </w:rPr>
              <w:t>A “</w:t>
            </w:r>
            <w:r w:rsidRPr="004D4906">
              <w:rPr>
                <w:rFonts w:ascii="Arial" w:hAnsi="Arial" w:cs="Arial"/>
                <w:b/>
                <w:bCs/>
                <w:sz w:val="20"/>
                <w:szCs w:val="20"/>
              </w:rPr>
              <w:t>Down Round</w:t>
            </w:r>
            <w:r w:rsidRPr="004D4906">
              <w:rPr>
                <w:rFonts w:ascii="Arial" w:hAnsi="Arial" w:cs="Arial"/>
                <w:sz w:val="20"/>
                <w:szCs w:val="20"/>
              </w:rPr>
              <w:t xml:space="preserve">” will occur if </w:t>
            </w:r>
            <w:r w:rsidR="00DD2457" w:rsidRPr="004D4906">
              <w:rPr>
                <w:rFonts w:ascii="Arial" w:hAnsi="Arial" w:cs="Arial"/>
                <w:sz w:val="20"/>
                <w:szCs w:val="20"/>
              </w:rPr>
              <w:t xml:space="preserve">the Company issues additional securities at a </w:t>
            </w:r>
            <w:r w:rsidR="007C7FB4" w:rsidRPr="004D4906">
              <w:rPr>
                <w:rFonts w:ascii="Arial" w:hAnsi="Arial" w:cs="Arial"/>
                <w:sz w:val="20"/>
                <w:szCs w:val="20"/>
              </w:rPr>
              <w:t>sub</w:t>
            </w:r>
            <w:r w:rsidR="00554146" w:rsidRPr="004D4906">
              <w:rPr>
                <w:rFonts w:ascii="Arial" w:hAnsi="Arial" w:cs="Arial"/>
                <w:sz w:val="20"/>
                <w:szCs w:val="20"/>
              </w:rPr>
              <w:t>s</w:t>
            </w:r>
            <w:r w:rsidR="007C7FB4" w:rsidRPr="004D4906">
              <w:rPr>
                <w:rFonts w:ascii="Arial" w:hAnsi="Arial" w:cs="Arial"/>
                <w:sz w:val="20"/>
                <w:szCs w:val="20"/>
              </w:rPr>
              <w:t xml:space="preserve">cription </w:t>
            </w:r>
            <w:r w:rsidR="00DD2457" w:rsidRPr="004D4906">
              <w:rPr>
                <w:rFonts w:ascii="Arial" w:hAnsi="Arial" w:cs="Arial"/>
                <w:sz w:val="20"/>
                <w:szCs w:val="20"/>
              </w:rPr>
              <w:t xml:space="preserve">price less than the current </w:t>
            </w:r>
            <w:r w:rsidR="001A7801" w:rsidRPr="004D4906">
              <w:rPr>
                <w:rFonts w:ascii="Arial" w:hAnsi="Arial" w:cs="Arial"/>
                <w:sz w:val="20"/>
                <w:szCs w:val="20"/>
              </w:rPr>
              <w:t>Series A Shares</w:t>
            </w:r>
            <w:r w:rsidR="00DD2457" w:rsidRPr="004D4906">
              <w:rPr>
                <w:rFonts w:ascii="Arial" w:hAnsi="Arial" w:cs="Arial"/>
                <w:sz w:val="20"/>
                <w:szCs w:val="20"/>
              </w:rPr>
              <w:t xml:space="preserve"> </w:t>
            </w:r>
            <w:r w:rsidR="00C67D7D" w:rsidRPr="004D4906">
              <w:rPr>
                <w:rFonts w:ascii="Arial" w:hAnsi="Arial" w:cs="Arial"/>
                <w:sz w:val="20"/>
                <w:szCs w:val="20"/>
              </w:rPr>
              <w:t xml:space="preserve">Conversion Price.  The Conversion Price will initially be equal to the Original Subscription Price. This price will be adjusted </w:t>
            </w:r>
            <w:r w:rsidR="00DD2457" w:rsidRPr="004D4906">
              <w:rPr>
                <w:rFonts w:ascii="Arial" w:hAnsi="Arial" w:cs="Arial"/>
                <w:sz w:val="20"/>
                <w:szCs w:val="20"/>
              </w:rPr>
              <w:t>in accordance with the following formula</w:t>
            </w:r>
            <w:r w:rsidR="00C90FAD" w:rsidRPr="004D4906">
              <w:rPr>
                <w:rStyle w:val="FootnoteReference"/>
                <w:rFonts w:ascii="Arial" w:hAnsi="Arial" w:cs="Arial"/>
                <w:szCs w:val="20"/>
              </w:rPr>
              <w:footnoteReference w:id="15"/>
            </w:r>
            <w:r w:rsidR="00DD2457" w:rsidRPr="004D4906">
              <w:rPr>
                <w:rFonts w:ascii="Arial" w:hAnsi="Arial" w:cs="Arial"/>
                <w:sz w:val="20"/>
                <w:szCs w:val="20"/>
              </w:rPr>
              <w:t>:</w:t>
            </w:r>
          </w:p>
          <w:p w14:paraId="53C2E492" w14:textId="77777777" w:rsidR="00DD2457" w:rsidRPr="004D4906" w:rsidRDefault="00DD2457" w:rsidP="004D4906">
            <w:pPr>
              <w:keepNext/>
              <w:spacing w:after="120"/>
              <w:jc w:val="center"/>
              <w:rPr>
                <w:rFonts w:ascii="Arial" w:hAnsi="Arial" w:cs="Arial"/>
                <w:sz w:val="20"/>
                <w:szCs w:val="20"/>
              </w:rPr>
            </w:pPr>
            <w:r w:rsidRPr="004D4906">
              <w:rPr>
                <w:rFonts w:ascii="Arial" w:hAnsi="Arial" w:cs="Arial"/>
                <w:sz w:val="20"/>
                <w:szCs w:val="20"/>
              </w:rPr>
              <w:t>CP</w:t>
            </w:r>
            <w:r w:rsidRPr="004D4906">
              <w:rPr>
                <w:rFonts w:ascii="Arial" w:hAnsi="Arial" w:cs="Arial"/>
                <w:sz w:val="20"/>
                <w:szCs w:val="20"/>
                <w:vertAlign w:val="subscript"/>
              </w:rPr>
              <w:t>2</w:t>
            </w:r>
            <w:r w:rsidRPr="004D4906">
              <w:rPr>
                <w:rFonts w:ascii="Arial" w:hAnsi="Arial" w:cs="Arial"/>
                <w:sz w:val="20"/>
                <w:szCs w:val="20"/>
              </w:rPr>
              <w:t xml:space="preserve"> = CP</w:t>
            </w:r>
            <w:r w:rsidRPr="004D4906">
              <w:rPr>
                <w:rFonts w:ascii="Arial" w:hAnsi="Arial" w:cs="Arial"/>
                <w:sz w:val="20"/>
                <w:szCs w:val="20"/>
                <w:vertAlign w:val="subscript"/>
              </w:rPr>
              <w:t>1</w:t>
            </w:r>
            <w:r w:rsidRPr="004D4906">
              <w:rPr>
                <w:rFonts w:ascii="Arial" w:hAnsi="Arial" w:cs="Arial"/>
                <w:sz w:val="20"/>
                <w:szCs w:val="20"/>
              </w:rPr>
              <w:t xml:space="preserve"> * (A+B) / (A+C)</w:t>
            </w:r>
          </w:p>
          <w:p w14:paraId="76C78882" w14:textId="77777777" w:rsidR="00DD2457" w:rsidRPr="004D4906" w:rsidRDefault="00DD2457" w:rsidP="004D4906">
            <w:pPr>
              <w:keepNext/>
              <w:tabs>
                <w:tab w:val="left" w:pos="1242"/>
              </w:tabs>
              <w:ind w:left="1512" w:hanging="792"/>
              <w:rPr>
                <w:rFonts w:ascii="Arial" w:hAnsi="Arial" w:cs="Arial"/>
                <w:sz w:val="20"/>
                <w:szCs w:val="20"/>
              </w:rPr>
            </w:pPr>
            <w:r w:rsidRPr="004D4906">
              <w:rPr>
                <w:rFonts w:ascii="Arial" w:hAnsi="Arial" w:cs="Arial"/>
                <w:sz w:val="20"/>
                <w:szCs w:val="20"/>
              </w:rPr>
              <w:t xml:space="preserve">Where: </w:t>
            </w:r>
          </w:p>
          <w:p w14:paraId="5FCCCA67" w14:textId="77777777" w:rsidR="00DD2457" w:rsidRPr="004D4906" w:rsidRDefault="00DD2457" w:rsidP="004D4906">
            <w:pPr>
              <w:keepNext/>
              <w:tabs>
                <w:tab w:val="left" w:pos="1242"/>
              </w:tabs>
              <w:ind w:left="1512" w:hanging="792"/>
              <w:rPr>
                <w:rFonts w:ascii="Arial" w:hAnsi="Arial" w:cs="Arial"/>
                <w:sz w:val="20"/>
                <w:szCs w:val="20"/>
              </w:rPr>
            </w:pPr>
            <w:r w:rsidRPr="004D4906">
              <w:rPr>
                <w:rFonts w:ascii="Arial" w:hAnsi="Arial" w:cs="Arial"/>
                <w:sz w:val="20"/>
                <w:szCs w:val="20"/>
              </w:rPr>
              <w:t>CP</w:t>
            </w:r>
            <w:r w:rsidRPr="004D4906">
              <w:rPr>
                <w:rFonts w:ascii="Arial" w:hAnsi="Arial" w:cs="Arial"/>
                <w:sz w:val="20"/>
                <w:szCs w:val="20"/>
                <w:vertAlign w:val="subscript"/>
              </w:rPr>
              <w:t>2</w:t>
            </w:r>
            <w:r w:rsidRPr="004D4906">
              <w:rPr>
                <w:rFonts w:ascii="Arial" w:hAnsi="Arial" w:cs="Arial"/>
                <w:sz w:val="20"/>
                <w:szCs w:val="20"/>
              </w:rPr>
              <w:t xml:space="preserve"> </w:t>
            </w:r>
            <w:r w:rsidRPr="004D4906">
              <w:rPr>
                <w:rFonts w:ascii="Arial" w:hAnsi="Arial" w:cs="Arial"/>
                <w:sz w:val="20"/>
                <w:szCs w:val="20"/>
              </w:rPr>
              <w:tab/>
              <w:t>=</w:t>
            </w:r>
            <w:r w:rsidRPr="004D4906">
              <w:rPr>
                <w:rFonts w:ascii="Arial" w:hAnsi="Arial" w:cs="Arial"/>
                <w:sz w:val="20"/>
                <w:szCs w:val="20"/>
              </w:rPr>
              <w:tab/>
              <w:t>Series A Conversion Price in effect immediately after new issue</w:t>
            </w:r>
          </w:p>
          <w:p w14:paraId="4E7DAFE7" w14:textId="77777777" w:rsidR="00DD2457" w:rsidRPr="004D4906" w:rsidRDefault="00DD2457" w:rsidP="004D4906">
            <w:pPr>
              <w:keepNext/>
              <w:tabs>
                <w:tab w:val="left" w:pos="1242"/>
              </w:tabs>
              <w:ind w:left="1512" w:hanging="792"/>
              <w:jc w:val="both"/>
              <w:rPr>
                <w:rFonts w:ascii="Arial" w:hAnsi="Arial" w:cs="Arial"/>
                <w:sz w:val="20"/>
                <w:szCs w:val="20"/>
              </w:rPr>
            </w:pPr>
            <w:r w:rsidRPr="004D4906">
              <w:rPr>
                <w:rFonts w:ascii="Arial" w:hAnsi="Arial" w:cs="Arial"/>
                <w:sz w:val="20"/>
                <w:szCs w:val="20"/>
              </w:rPr>
              <w:t>CP</w:t>
            </w:r>
            <w:r w:rsidRPr="004D4906">
              <w:rPr>
                <w:rFonts w:ascii="Arial" w:hAnsi="Arial" w:cs="Arial"/>
                <w:sz w:val="20"/>
                <w:szCs w:val="20"/>
                <w:vertAlign w:val="subscript"/>
              </w:rPr>
              <w:t>1</w:t>
            </w:r>
            <w:r w:rsidRPr="004D4906">
              <w:rPr>
                <w:rFonts w:ascii="Arial" w:hAnsi="Arial" w:cs="Arial"/>
                <w:sz w:val="20"/>
                <w:szCs w:val="20"/>
              </w:rPr>
              <w:tab/>
              <w:t>=</w:t>
            </w:r>
            <w:r w:rsidRPr="004D4906">
              <w:rPr>
                <w:rFonts w:ascii="Arial" w:hAnsi="Arial" w:cs="Arial"/>
                <w:sz w:val="20"/>
                <w:szCs w:val="20"/>
              </w:rPr>
              <w:tab/>
              <w:t>Series A Conversion Price in effect immediately prior to new issue</w:t>
            </w:r>
          </w:p>
          <w:p w14:paraId="46D20CA1" w14:textId="7A979322" w:rsidR="00DD2457" w:rsidRPr="004D4906" w:rsidRDefault="00DD2457" w:rsidP="004D4906">
            <w:pPr>
              <w:keepNext/>
              <w:widowControl w:val="0"/>
              <w:tabs>
                <w:tab w:val="left" w:pos="1242"/>
              </w:tabs>
              <w:ind w:left="1512" w:hanging="792"/>
              <w:jc w:val="both"/>
              <w:rPr>
                <w:rFonts w:ascii="Arial" w:hAnsi="Arial" w:cs="Arial"/>
                <w:sz w:val="20"/>
                <w:szCs w:val="20"/>
              </w:rPr>
            </w:pPr>
            <w:r w:rsidRPr="004D4906">
              <w:rPr>
                <w:rFonts w:ascii="Arial" w:hAnsi="Arial" w:cs="Arial"/>
                <w:sz w:val="20"/>
                <w:szCs w:val="20"/>
              </w:rPr>
              <w:t>A</w:t>
            </w:r>
            <w:r w:rsidRPr="004D4906">
              <w:rPr>
                <w:rFonts w:ascii="Arial" w:hAnsi="Arial" w:cs="Arial"/>
                <w:sz w:val="20"/>
                <w:szCs w:val="20"/>
              </w:rPr>
              <w:tab/>
              <w:t>=</w:t>
            </w:r>
            <w:r w:rsidRPr="004D4906">
              <w:rPr>
                <w:rFonts w:ascii="Arial" w:hAnsi="Arial" w:cs="Arial"/>
                <w:sz w:val="20"/>
                <w:szCs w:val="20"/>
              </w:rPr>
              <w:tab/>
              <w:t xml:space="preserve">Number of </w:t>
            </w:r>
            <w:r w:rsidR="00F9379B" w:rsidRPr="004D4906">
              <w:rPr>
                <w:rFonts w:ascii="Arial" w:hAnsi="Arial" w:cs="Arial"/>
                <w:sz w:val="20"/>
                <w:szCs w:val="20"/>
              </w:rPr>
              <w:t>Ordinary</w:t>
            </w:r>
            <w:r w:rsidRPr="004D4906">
              <w:rPr>
                <w:rFonts w:ascii="Arial" w:hAnsi="Arial" w:cs="Arial"/>
                <w:sz w:val="20"/>
                <w:szCs w:val="20"/>
              </w:rPr>
              <w:t xml:space="preserve"> </w:t>
            </w:r>
            <w:r w:rsidR="004527B6" w:rsidRPr="004D4906">
              <w:rPr>
                <w:rFonts w:ascii="Arial" w:hAnsi="Arial" w:cs="Arial"/>
                <w:sz w:val="20"/>
                <w:szCs w:val="20"/>
              </w:rPr>
              <w:t>Share</w:t>
            </w:r>
            <w:r w:rsidR="006868CA" w:rsidRPr="004D4906">
              <w:rPr>
                <w:rFonts w:ascii="Arial" w:hAnsi="Arial" w:cs="Arial"/>
                <w:sz w:val="20"/>
                <w:szCs w:val="20"/>
              </w:rPr>
              <w:t>s</w:t>
            </w:r>
            <w:r w:rsidRPr="004D4906">
              <w:rPr>
                <w:rFonts w:ascii="Arial" w:hAnsi="Arial" w:cs="Arial"/>
                <w:sz w:val="20"/>
                <w:szCs w:val="20"/>
              </w:rPr>
              <w:t xml:space="preserve"> deemed to be </w:t>
            </w:r>
            <w:r w:rsidR="003B0EEB" w:rsidRPr="004D4906">
              <w:rPr>
                <w:rFonts w:ascii="Arial" w:hAnsi="Arial" w:cs="Arial"/>
                <w:sz w:val="20"/>
                <w:szCs w:val="20"/>
              </w:rPr>
              <w:t xml:space="preserve">issued </w:t>
            </w:r>
            <w:r w:rsidRPr="004D4906">
              <w:rPr>
                <w:rFonts w:ascii="Arial" w:hAnsi="Arial" w:cs="Arial"/>
                <w:sz w:val="20"/>
                <w:szCs w:val="20"/>
              </w:rPr>
              <w:t xml:space="preserve">immediately prior to new issue (includes all </w:t>
            </w:r>
            <w:r w:rsidR="00C44739">
              <w:rPr>
                <w:rFonts w:ascii="Arial" w:hAnsi="Arial" w:cs="Arial"/>
                <w:sz w:val="20"/>
                <w:szCs w:val="20"/>
              </w:rPr>
              <w:t>issued</w:t>
            </w:r>
            <w:r w:rsidRPr="004D4906">
              <w:rPr>
                <w:rFonts w:ascii="Arial" w:hAnsi="Arial" w:cs="Arial"/>
                <w:sz w:val="20"/>
                <w:szCs w:val="20"/>
              </w:rPr>
              <w:t xml:space="preserve"> </w:t>
            </w:r>
            <w:r w:rsidR="00F9379B" w:rsidRPr="004D4906">
              <w:rPr>
                <w:rFonts w:ascii="Arial" w:hAnsi="Arial" w:cs="Arial"/>
                <w:sz w:val="20"/>
                <w:szCs w:val="20"/>
              </w:rPr>
              <w:t>Ordinary</w:t>
            </w:r>
            <w:r w:rsidRPr="004D4906">
              <w:rPr>
                <w:rFonts w:ascii="Arial" w:hAnsi="Arial" w:cs="Arial"/>
                <w:sz w:val="20"/>
                <w:szCs w:val="20"/>
              </w:rPr>
              <w:t xml:space="preserve"> </w:t>
            </w:r>
            <w:r w:rsidR="004527B6" w:rsidRPr="004D4906">
              <w:rPr>
                <w:rFonts w:ascii="Arial" w:hAnsi="Arial" w:cs="Arial"/>
                <w:sz w:val="20"/>
                <w:szCs w:val="20"/>
              </w:rPr>
              <w:t>Share</w:t>
            </w:r>
            <w:r w:rsidR="00D554CD" w:rsidRPr="004D4906">
              <w:rPr>
                <w:rFonts w:ascii="Arial" w:hAnsi="Arial" w:cs="Arial"/>
                <w:sz w:val="20"/>
                <w:szCs w:val="20"/>
              </w:rPr>
              <w:t>s</w:t>
            </w:r>
            <w:r w:rsidRPr="004D4906">
              <w:rPr>
                <w:rFonts w:ascii="Arial" w:hAnsi="Arial" w:cs="Arial"/>
                <w:sz w:val="20"/>
                <w:szCs w:val="20"/>
              </w:rPr>
              <w:t xml:space="preserve">, </w:t>
            </w:r>
            <w:r w:rsidR="00C44739">
              <w:rPr>
                <w:rFonts w:ascii="Arial" w:hAnsi="Arial" w:cs="Arial"/>
                <w:sz w:val="20"/>
                <w:szCs w:val="20"/>
              </w:rPr>
              <w:t>issued</w:t>
            </w:r>
            <w:r w:rsidRPr="004D4906">
              <w:rPr>
                <w:rFonts w:ascii="Arial" w:hAnsi="Arial" w:cs="Arial"/>
                <w:sz w:val="20"/>
                <w:szCs w:val="20"/>
              </w:rPr>
              <w:t xml:space="preserve"> </w:t>
            </w:r>
            <w:r w:rsidR="00C44739">
              <w:rPr>
                <w:rFonts w:ascii="Arial" w:hAnsi="Arial" w:cs="Arial"/>
                <w:sz w:val="20"/>
                <w:szCs w:val="20"/>
              </w:rPr>
              <w:t>Preference</w:t>
            </w:r>
            <w:r w:rsidR="00C44739" w:rsidRPr="004D4906">
              <w:rPr>
                <w:rFonts w:ascii="Arial" w:hAnsi="Arial" w:cs="Arial"/>
                <w:sz w:val="20"/>
                <w:szCs w:val="20"/>
              </w:rPr>
              <w:t xml:space="preserve"> </w:t>
            </w:r>
            <w:r w:rsidR="004527B6" w:rsidRPr="004D4906">
              <w:rPr>
                <w:rFonts w:ascii="Arial" w:hAnsi="Arial" w:cs="Arial"/>
                <w:sz w:val="20"/>
                <w:szCs w:val="20"/>
              </w:rPr>
              <w:t>Share</w:t>
            </w:r>
            <w:r w:rsidR="00D554CD" w:rsidRPr="004D4906">
              <w:rPr>
                <w:rFonts w:ascii="Arial" w:hAnsi="Arial" w:cs="Arial"/>
                <w:sz w:val="20"/>
                <w:szCs w:val="20"/>
              </w:rPr>
              <w:t>s</w:t>
            </w:r>
            <w:r w:rsidRPr="004D4906">
              <w:rPr>
                <w:rFonts w:ascii="Arial" w:hAnsi="Arial" w:cs="Arial"/>
                <w:sz w:val="20"/>
                <w:szCs w:val="20"/>
              </w:rPr>
              <w:t xml:space="preserve"> on an as-converted basis, and all </w:t>
            </w:r>
            <w:r w:rsidR="00C44739">
              <w:rPr>
                <w:rFonts w:ascii="Arial" w:hAnsi="Arial" w:cs="Arial"/>
                <w:sz w:val="20"/>
                <w:szCs w:val="20"/>
              </w:rPr>
              <w:t xml:space="preserve"> conversion</w:t>
            </w:r>
            <w:r w:rsidRPr="004D4906">
              <w:rPr>
                <w:rFonts w:ascii="Arial" w:hAnsi="Arial" w:cs="Arial"/>
                <w:sz w:val="20"/>
                <w:szCs w:val="20"/>
              </w:rPr>
              <w:t xml:space="preserve">options on an as-exercised basis; and does not include any convertible securities converting into this round of </w:t>
            </w:r>
            <w:r w:rsidR="003B0EEB" w:rsidRPr="004D4906">
              <w:rPr>
                <w:rFonts w:ascii="Arial" w:hAnsi="Arial" w:cs="Arial"/>
                <w:sz w:val="20"/>
                <w:szCs w:val="20"/>
              </w:rPr>
              <w:t>funding</w:t>
            </w:r>
            <w:r w:rsidRPr="004D4906">
              <w:rPr>
                <w:rFonts w:ascii="Arial" w:hAnsi="Arial" w:cs="Arial"/>
                <w:sz w:val="20"/>
                <w:szCs w:val="20"/>
              </w:rPr>
              <w:t>)</w:t>
            </w:r>
            <w:r w:rsidRPr="004D4906">
              <w:rPr>
                <w:rStyle w:val="FootnoteReference"/>
                <w:rFonts w:ascii="Arial" w:hAnsi="Arial" w:cs="Arial"/>
                <w:szCs w:val="20"/>
              </w:rPr>
              <w:footnoteReference w:id="16"/>
            </w:r>
            <w:r w:rsidRPr="004D4906">
              <w:rPr>
                <w:rFonts w:ascii="Arial" w:hAnsi="Arial" w:cs="Arial"/>
                <w:b/>
                <w:sz w:val="20"/>
                <w:szCs w:val="20"/>
              </w:rPr>
              <w:t xml:space="preserve"> </w:t>
            </w:r>
          </w:p>
          <w:p w14:paraId="033B62EB" w14:textId="77777777" w:rsidR="00DD2457" w:rsidRPr="004D4906" w:rsidRDefault="00DD2457" w:rsidP="004D4906">
            <w:pPr>
              <w:keepNext/>
              <w:widowControl w:val="0"/>
              <w:tabs>
                <w:tab w:val="left" w:pos="1242"/>
              </w:tabs>
              <w:ind w:left="1512" w:hanging="792"/>
              <w:jc w:val="both"/>
              <w:rPr>
                <w:rFonts w:ascii="Arial" w:hAnsi="Arial" w:cs="Arial"/>
                <w:sz w:val="20"/>
                <w:szCs w:val="20"/>
              </w:rPr>
            </w:pPr>
            <w:r w:rsidRPr="004D4906">
              <w:rPr>
                <w:rFonts w:ascii="Arial" w:hAnsi="Arial" w:cs="Arial"/>
                <w:sz w:val="20"/>
                <w:szCs w:val="20"/>
              </w:rPr>
              <w:t>B</w:t>
            </w:r>
            <w:r w:rsidRPr="004D4906">
              <w:rPr>
                <w:rFonts w:ascii="Arial" w:hAnsi="Arial" w:cs="Arial"/>
                <w:sz w:val="20"/>
                <w:szCs w:val="20"/>
              </w:rPr>
              <w:tab/>
              <w:t>=</w:t>
            </w:r>
            <w:r w:rsidRPr="004D4906">
              <w:rPr>
                <w:rFonts w:ascii="Arial" w:hAnsi="Arial" w:cs="Arial"/>
                <w:sz w:val="20"/>
                <w:szCs w:val="20"/>
              </w:rPr>
              <w:tab/>
              <w:t>Aggregate consideration received by the Company with respect to the new issue divided by CP</w:t>
            </w:r>
            <w:r w:rsidRPr="004D4906">
              <w:rPr>
                <w:rFonts w:ascii="Arial" w:hAnsi="Arial" w:cs="Arial"/>
                <w:sz w:val="20"/>
                <w:szCs w:val="20"/>
                <w:vertAlign w:val="subscript"/>
              </w:rPr>
              <w:t>1</w:t>
            </w:r>
          </w:p>
          <w:p w14:paraId="184E9077" w14:textId="6B40BE02" w:rsidR="00DD2457" w:rsidRPr="004D4906" w:rsidRDefault="00DD2457" w:rsidP="004D4906">
            <w:pPr>
              <w:keepNext/>
              <w:widowControl w:val="0"/>
              <w:tabs>
                <w:tab w:val="left" w:pos="1242"/>
              </w:tabs>
              <w:spacing w:after="240"/>
              <w:ind w:left="1512" w:hanging="792"/>
              <w:jc w:val="both"/>
              <w:rPr>
                <w:rFonts w:ascii="Arial" w:hAnsi="Arial" w:cs="Arial"/>
                <w:sz w:val="20"/>
                <w:szCs w:val="20"/>
              </w:rPr>
            </w:pPr>
            <w:r w:rsidRPr="004D4906">
              <w:rPr>
                <w:rFonts w:ascii="Arial" w:hAnsi="Arial" w:cs="Arial"/>
                <w:sz w:val="20"/>
                <w:szCs w:val="20"/>
              </w:rPr>
              <w:t>C</w:t>
            </w:r>
            <w:r w:rsidRPr="004D4906">
              <w:rPr>
                <w:rFonts w:ascii="Arial" w:hAnsi="Arial" w:cs="Arial"/>
                <w:sz w:val="20"/>
                <w:szCs w:val="20"/>
              </w:rPr>
              <w:tab/>
              <w:t>=</w:t>
            </w:r>
            <w:r w:rsidRPr="004D4906">
              <w:rPr>
                <w:rFonts w:ascii="Arial" w:hAnsi="Arial" w:cs="Arial"/>
                <w:sz w:val="20"/>
                <w:szCs w:val="20"/>
              </w:rPr>
              <w:tab/>
              <w:t>Number of shares issued in the subject transaction</w:t>
            </w:r>
          </w:p>
        </w:tc>
      </w:tr>
      <w:tr w:rsidR="00DD2457" w:rsidRPr="004D4906" w14:paraId="368915A7" w14:textId="77777777" w:rsidTr="001D1564">
        <w:tc>
          <w:tcPr>
            <w:tcW w:w="2010" w:type="pct"/>
            <w:tcBorders>
              <w:top w:val="nil"/>
              <w:left w:val="nil"/>
              <w:bottom w:val="nil"/>
              <w:right w:val="nil"/>
            </w:tcBorders>
          </w:tcPr>
          <w:p w14:paraId="03184450" w14:textId="77777777" w:rsidR="00DD2457" w:rsidRPr="004D4906" w:rsidRDefault="00DD2457" w:rsidP="00682930">
            <w:pPr>
              <w:pStyle w:val="TableTextBU"/>
              <w:keepNext w:val="0"/>
              <w:rPr>
                <w:rFonts w:ascii="Arial" w:hAnsi="Arial" w:cs="Arial"/>
                <w:sz w:val="20"/>
                <w:szCs w:val="20"/>
              </w:rPr>
            </w:pPr>
          </w:p>
        </w:tc>
        <w:tc>
          <w:tcPr>
            <w:tcW w:w="2990" w:type="pct"/>
            <w:tcBorders>
              <w:top w:val="nil"/>
              <w:left w:val="nil"/>
              <w:bottom w:val="nil"/>
              <w:right w:val="nil"/>
            </w:tcBorders>
          </w:tcPr>
          <w:p w14:paraId="55016390" w14:textId="05123515" w:rsidR="00DD2457" w:rsidRPr="004D4906" w:rsidRDefault="00862CC6" w:rsidP="00682930">
            <w:pPr>
              <w:pStyle w:val="TableText"/>
              <w:rPr>
                <w:rFonts w:ascii="Arial" w:hAnsi="Arial" w:cs="Arial"/>
                <w:b/>
                <w:bCs/>
                <w:sz w:val="20"/>
                <w:szCs w:val="20"/>
              </w:rPr>
            </w:pPr>
            <w:r w:rsidRPr="004D4906">
              <w:rPr>
                <w:rFonts w:ascii="Arial" w:hAnsi="Arial" w:cs="Arial"/>
                <w:sz w:val="20"/>
                <w:szCs w:val="20"/>
              </w:rPr>
              <w:t>Certain events are excluded from the concept of a Down Round</w:t>
            </w:r>
            <w:r w:rsidR="00DD2457" w:rsidRPr="004D4906">
              <w:rPr>
                <w:rFonts w:ascii="Arial" w:hAnsi="Arial" w:cs="Arial"/>
                <w:sz w:val="20"/>
                <w:szCs w:val="20"/>
              </w:rPr>
              <w:t xml:space="preserve"> including, without limitation, the following:</w:t>
            </w:r>
          </w:p>
          <w:p w14:paraId="63DF9BEA" w14:textId="56188C80" w:rsidR="00826D30" w:rsidRPr="004D4906" w:rsidRDefault="00DD2457" w:rsidP="004D4906">
            <w:pPr>
              <w:pStyle w:val="ListParagraph"/>
              <w:numPr>
                <w:ilvl w:val="0"/>
                <w:numId w:val="50"/>
              </w:numPr>
              <w:spacing w:after="240"/>
              <w:jc w:val="both"/>
              <w:rPr>
                <w:rFonts w:ascii="Arial" w:hAnsi="Arial" w:cs="Arial"/>
                <w:sz w:val="20"/>
                <w:szCs w:val="20"/>
              </w:rPr>
            </w:pPr>
            <w:r w:rsidRPr="004D4906">
              <w:rPr>
                <w:rFonts w:ascii="Arial" w:hAnsi="Arial" w:cs="Arial"/>
                <w:sz w:val="20"/>
                <w:szCs w:val="20"/>
              </w:rPr>
              <w:t xml:space="preserve">securities issuable upon conversion of any of the </w:t>
            </w:r>
            <w:r w:rsidR="001A7801" w:rsidRPr="004D4906">
              <w:rPr>
                <w:rFonts w:ascii="Arial" w:hAnsi="Arial" w:cs="Arial"/>
                <w:sz w:val="20"/>
                <w:szCs w:val="20"/>
              </w:rPr>
              <w:t>Series A Shares</w:t>
            </w:r>
            <w:r w:rsidRPr="004D4906">
              <w:rPr>
                <w:rFonts w:ascii="Arial" w:hAnsi="Arial" w:cs="Arial"/>
                <w:sz w:val="20"/>
                <w:szCs w:val="20"/>
              </w:rPr>
              <w:t xml:space="preserve">, or as a dividend or distribution on the </w:t>
            </w:r>
            <w:r w:rsidR="001A7801" w:rsidRPr="004D4906">
              <w:rPr>
                <w:rFonts w:ascii="Arial" w:hAnsi="Arial" w:cs="Arial"/>
                <w:sz w:val="20"/>
                <w:szCs w:val="20"/>
              </w:rPr>
              <w:t>Series A Shares</w:t>
            </w:r>
            <w:r w:rsidRPr="004D4906">
              <w:rPr>
                <w:rFonts w:ascii="Arial" w:hAnsi="Arial" w:cs="Arial"/>
                <w:sz w:val="20"/>
                <w:szCs w:val="20"/>
              </w:rPr>
              <w:t xml:space="preserve">; </w:t>
            </w:r>
          </w:p>
          <w:p w14:paraId="5B94FC84" w14:textId="62863B2C" w:rsidR="00826D30" w:rsidRPr="004D4906" w:rsidRDefault="00DD2457" w:rsidP="00826D30">
            <w:pPr>
              <w:pStyle w:val="ListParagraph"/>
              <w:numPr>
                <w:ilvl w:val="0"/>
                <w:numId w:val="50"/>
              </w:numPr>
              <w:spacing w:after="240"/>
              <w:jc w:val="both"/>
              <w:rPr>
                <w:rFonts w:ascii="Arial" w:hAnsi="Arial" w:cs="Arial"/>
                <w:b/>
                <w:i/>
                <w:sz w:val="20"/>
                <w:szCs w:val="20"/>
              </w:rPr>
            </w:pPr>
            <w:r w:rsidRPr="004D4906">
              <w:rPr>
                <w:rFonts w:ascii="Arial" w:hAnsi="Arial" w:cs="Arial"/>
                <w:sz w:val="20"/>
                <w:szCs w:val="20"/>
              </w:rPr>
              <w:t xml:space="preserve">securities issued upon the conversion of any warrant, option, or other convertible security; </w:t>
            </w:r>
          </w:p>
          <w:p w14:paraId="3FC9C1EF" w14:textId="52F7D6A5" w:rsidR="00826D30" w:rsidRPr="004D4906" w:rsidRDefault="00F9379B" w:rsidP="00826D30">
            <w:pPr>
              <w:pStyle w:val="ListParagraph"/>
              <w:numPr>
                <w:ilvl w:val="0"/>
                <w:numId w:val="50"/>
              </w:numPr>
              <w:spacing w:after="240"/>
              <w:jc w:val="both"/>
              <w:rPr>
                <w:rFonts w:ascii="Arial" w:hAnsi="Arial" w:cs="Arial"/>
                <w:b/>
                <w:i/>
                <w:sz w:val="20"/>
                <w:szCs w:val="20"/>
              </w:rPr>
            </w:pPr>
            <w:r w:rsidRPr="004D4906">
              <w:rPr>
                <w:rFonts w:ascii="Arial" w:hAnsi="Arial" w:cs="Arial"/>
                <w:sz w:val="20"/>
                <w:szCs w:val="20"/>
              </w:rPr>
              <w:t>Ordinary</w:t>
            </w:r>
            <w:r w:rsidR="00DD2457" w:rsidRPr="004D4906">
              <w:rPr>
                <w:rFonts w:ascii="Arial" w:hAnsi="Arial" w:cs="Arial"/>
                <w:sz w:val="20"/>
                <w:szCs w:val="20"/>
              </w:rPr>
              <w:t xml:space="preserve"> </w:t>
            </w:r>
            <w:r w:rsidR="004527B6" w:rsidRPr="004D4906">
              <w:rPr>
                <w:rFonts w:ascii="Arial" w:hAnsi="Arial" w:cs="Arial"/>
                <w:sz w:val="20"/>
                <w:szCs w:val="20"/>
              </w:rPr>
              <w:t>Share</w:t>
            </w:r>
            <w:r w:rsidR="00D554CD" w:rsidRPr="004D4906">
              <w:rPr>
                <w:rFonts w:ascii="Arial" w:hAnsi="Arial" w:cs="Arial"/>
                <w:sz w:val="20"/>
                <w:szCs w:val="20"/>
              </w:rPr>
              <w:t>s</w:t>
            </w:r>
            <w:r w:rsidR="00DD2457" w:rsidRPr="004D4906">
              <w:rPr>
                <w:rFonts w:ascii="Arial" w:hAnsi="Arial" w:cs="Arial"/>
                <w:sz w:val="20"/>
                <w:szCs w:val="20"/>
              </w:rPr>
              <w:t xml:space="preserve"> issuable upon a </w:t>
            </w:r>
            <w:r w:rsidR="004527B6" w:rsidRPr="004D4906">
              <w:rPr>
                <w:rFonts w:ascii="Arial" w:hAnsi="Arial" w:cs="Arial"/>
                <w:sz w:val="20"/>
                <w:szCs w:val="20"/>
              </w:rPr>
              <w:t>Share</w:t>
            </w:r>
            <w:r w:rsidR="00DD2457" w:rsidRPr="004D4906">
              <w:rPr>
                <w:rFonts w:ascii="Arial" w:hAnsi="Arial" w:cs="Arial"/>
                <w:sz w:val="20"/>
                <w:szCs w:val="20"/>
              </w:rPr>
              <w:t xml:space="preserve"> split, </w:t>
            </w:r>
            <w:r w:rsidR="00862CC6" w:rsidRPr="004D4906">
              <w:rPr>
                <w:rFonts w:ascii="Arial" w:hAnsi="Arial" w:cs="Arial"/>
                <w:sz w:val="20"/>
                <w:szCs w:val="20"/>
              </w:rPr>
              <w:t>Capitalization Issuance/</w:t>
            </w:r>
            <w:r w:rsidR="004527B6" w:rsidRPr="004D4906">
              <w:rPr>
                <w:rFonts w:ascii="Arial" w:hAnsi="Arial" w:cs="Arial"/>
                <w:sz w:val="20"/>
                <w:szCs w:val="20"/>
              </w:rPr>
              <w:t>Share</w:t>
            </w:r>
            <w:r w:rsidR="00DD2457" w:rsidRPr="004D4906">
              <w:rPr>
                <w:rFonts w:ascii="Arial" w:hAnsi="Arial" w:cs="Arial"/>
                <w:sz w:val="20"/>
                <w:szCs w:val="20"/>
              </w:rPr>
              <w:t xml:space="preserve"> dividend, or any subdivision of </w:t>
            </w:r>
            <w:r w:rsidRPr="004D4906">
              <w:rPr>
                <w:rFonts w:ascii="Arial" w:hAnsi="Arial" w:cs="Arial"/>
                <w:sz w:val="20"/>
                <w:szCs w:val="20"/>
              </w:rPr>
              <w:t>Ordinary</w:t>
            </w:r>
            <w:r w:rsidR="00DD2457" w:rsidRPr="004D4906">
              <w:rPr>
                <w:rFonts w:ascii="Arial" w:hAnsi="Arial" w:cs="Arial"/>
                <w:sz w:val="20"/>
                <w:szCs w:val="20"/>
              </w:rPr>
              <w:t xml:space="preserve"> </w:t>
            </w:r>
            <w:r w:rsidR="004527B6" w:rsidRPr="004D4906">
              <w:rPr>
                <w:rFonts w:ascii="Arial" w:hAnsi="Arial" w:cs="Arial"/>
                <w:sz w:val="20"/>
                <w:szCs w:val="20"/>
              </w:rPr>
              <w:t>Share</w:t>
            </w:r>
            <w:r w:rsidR="00DD2457" w:rsidRPr="004D4906">
              <w:rPr>
                <w:rFonts w:ascii="Arial" w:hAnsi="Arial" w:cs="Arial"/>
                <w:sz w:val="20"/>
                <w:szCs w:val="20"/>
              </w:rPr>
              <w:t xml:space="preserve">; </w:t>
            </w:r>
            <w:r w:rsidR="00826D30" w:rsidRPr="004D4906">
              <w:rPr>
                <w:rFonts w:ascii="Arial" w:hAnsi="Arial" w:cs="Arial"/>
                <w:sz w:val="20"/>
                <w:szCs w:val="20"/>
              </w:rPr>
              <w:t>and</w:t>
            </w:r>
          </w:p>
          <w:p w14:paraId="3155757D" w14:textId="08F254C8" w:rsidR="00DD2457" w:rsidRPr="004D4906" w:rsidRDefault="006868CA" w:rsidP="004D4906">
            <w:pPr>
              <w:pStyle w:val="ListParagraph"/>
              <w:numPr>
                <w:ilvl w:val="0"/>
                <w:numId w:val="50"/>
              </w:numPr>
              <w:spacing w:after="240"/>
              <w:jc w:val="both"/>
              <w:rPr>
                <w:rFonts w:ascii="Arial" w:hAnsi="Arial" w:cs="Arial"/>
                <w:b/>
                <w:i/>
                <w:sz w:val="20"/>
                <w:szCs w:val="20"/>
              </w:rPr>
            </w:pPr>
            <w:r w:rsidRPr="004D4906">
              <w:rPr>
                <w:rFonts w:ascii="Arial" w:hAnsi="Arial" w:cs="Arial"/>
                <w:sz w:val="20"/>
                <w:szCs w:val="20"/>
              </w:rPr>
              <w:t>Ordinary S</w:t>
            </w:r>
            <w:r w:rsidR="00DD2457" w:rsidRPr="004D4906">
              <w:rPr>
                <w:rFonts w:ascii="Arial" w:hAnsi="Arial" w:cs="Arial"/>
                <w:sz w:val="20"/>
                <w:szCs w:val="20"/>
              </w:rPr>
              <w:t xml:space="preserve">hares (or options to purchase such </w:t>
            </w:r>
            <w:r w:rsidRPr="004D4906">
              <w:rPr>
                <w:rFonts w:ascii="Arial" w:hAnsi="Arial" w:cs="Arial"/>
                <w:sz w:val="20"/>
                <w:szCs w:val="20"/>
              </w:rPr>
              <w:t>Ordinary S</w:t>
            </w:r>
            <w:r w:rsidR="00DD2457" w:rsidRPr="004D4906">
              <w:rPr>
                <w:rFonts w:ascii="Arial" w:hAnsi="Arial" w:cs="Arial"/>
                <w:sz w:val="20"/>
                <w:szCs w:val="20"/>
              </w:rPr>
              <w:t xml:space="preserve">hares) </w:t>
            </w:r>
            <w:r w:rsidR="00AC3846" w:rsidRPr="004D4906">
              <w:rPr>
                <w:rFonts w:ascii="Arial" w:hAnsi="Arial" w:cs="Arial"/>
                <w:sz w:val="20"/>
                <w:szCs w:val="20"/>
              </w:rPr>
              <w:t>allocated or reserved for the ESOP.</w:t>
            </w:r>
            <w:r w:rsidR="00DD2457" w:rsidRPr="004D4906">
              <w:rPr>
                <w:rFonts w:ascii="Arial" w:hAnsi="Arial" w:cs="Arial"/>
                <w:sz w:val="20"/>
                <w:szCs w:val="20"/>
              </w:rPr>
              <w:t xml:space="preserve"> </w:t>
            </w:r>
          </w:p>
        </w:tc>
      </w:tr>
      <w:tr w:rsidR="00DD2457" w:rsidRPr="004D4906" w14:paraId="3C9A293B" w14:textId="77777777" w:rsidTr="001D1564">
        <w:tc>
          <w:tcPr>
            <w:tcW w:w="2010" w:type="pct"/>
            <w:tcBorders>
              <w:top w:val="nil"/>
              <w:left w:val="nil"/>
              <w:bottom w:val="nil"/>
              <w:right w:val="nil"/>
            </w:tcBorders>
          </w:tcPr>
          <w:p w14:paraId="441067F5" w14:textId="77777777" w:rsidR="00DD2457" w:rsidRPr="004D4906" w:rsidRDefault="00DD2457" w:rsidP="00FD57EE">
            <w:pPr>
              <w:pStyle w:val="TableItalics"/>
              <w:rPr>
                <w:rFonts w:ascii="Arial" w:hAnsi="Arial" w:cs="Arial"/>
                <w:sz w:val="20"/>
                <w:szCs w:val="20"/>
              </w:rPr>
            </w:pPr>
            <w:r w:rsidRPr="004D4906">
              <w:rPr>
                <w:rFonts w:ascii="Arial" w:hAnsi="Arial" w:cs="Arial"/>
                <w:sz w:val="20"/>
                <w:szCs w:val="20"/>
              </w:rPr>
              <w:lastRenderedPageBreak/>
              <w:t xml:space="preserve">Mandatory </w:t>
            </w:r>
            <w:commentRangeStart w:id="39"/>
            <w:r w:rsidRPr="004D4906">
              <w:rPr>
                <w:rFonts w:ascii="Arial" w:hAnsi="Arial" w:cs="Arial"/>
                <w:sz w:val="20"/>
                <w:szCs w:val="20"/>
              </w:rPr>
              <w:t>Conversion</w:t>
            </w:r>
            <w:commentRangeEnd w:id="39"/>
            <w:r w:rsidR="00976120" w:rsidRPr="004D4906">
              <w:rPr>
                <w:rStyle w:val="CommentReference"/>
                <w:rFonts w:ascii="Arial" w:hAnsi="Arial" w:cs="Arial"/>
                <w:sz w:val="20"/>
                <w:szCs w:val="20"/>
              </w:rPr>
              <w:commentReference w:id="39"/>
            </w:r>
            <w:r w:rsidRPr="004D4906">
              <w:rPr>
                <w:rFonts w:ascii="Arial" w:hAnsi="Arial" w:cs="Arial"/>
                <w:sz w:val="20"/>
                <w:szCs w:val="20"/>
              </w:rPr>
              <w:t>:</w:t>
            </w:r>
          </w:p>
        </w:tc>
        <w:tc>
          <w:tcPr>
            <w:tcW w:w="2990" w:type="pct"/>
            <w:tcBorders>
              <w:top w:val="nil"/>
              <w:left w:val="nil"/>
              <w:bottom w:val="nil"/>
              <w:right w:val="nil"/>
            </w:tcBorders>
          </w:tcPr>
          <w:p w14:paraId="4470F600" w14:textId="7C901331" w:rsidR="00DD2457" w:rsidRPr="004D4906" w:rsidRDefault="00DD2457" w:rsidP="00FD57EE">
            <w:pPr>
              <w:pStyle w:val="TableText"/>
              <w:rPr>
                <w:rFonts w:ascii="Arial" w:hAnsi="Arial" w:cs="Arial"/>
                <w:b/>
                <w:i/>
                <w:sz w:val="20"/>
                <w:szCs w:val="20"/>
                <w:vertAlign w:val="superscript"/>
              </w:rPr>
            </w:pPr>
            <w:r w:rsidRPr="004D4906">
              <w:rPr>
                <w:rFonts w:ascii="Arial" w:hAnsi="Arial" w:cs="Arial"/>
                <w:sz w:val="20"/>
                <w:szCs w:val="20"/>
              </w:rPr>
              <w:t xml:space="preserve">Each Series A </w:t>
            </w:r>
            <w:r w:rsidR="00976120" w:rsidRPr="004D4906">
              <w:rPr>
                <w:rFonts w:ascii="Arial" w:hAnsi="Arial" w:cs="Arial"/>
                <w:sz w:val="20"/>
                <w:szCs w:val="20"/>
              </w:rPr>
              <w:t xml:space="preserve">Share </w:t>
            </w:r>
            <w:r w:rsidRPr="004D4906">
              <w:rPr>
                <w:rFonts w:ascii="Arial" w:hAnsi="Arial" w:cs="Arial"/>
                <w:sz w:val="20"/>
                <w:szCs w:val="20"/>
              </w:rPr>
              <w:t xml:space="preserve">will automatically be converted into </w:t>
            </w:r>
            <w:r w:rsidR="005354D7" w:rsidRPr="004D4906">
              <w:rPr>
                <w:rFonts w:ascii="Arial" w:hAnsi="Arial" w:cs="Arial"/>
                <w:sz w:val="20"/>
                <w:szCs w:val="20"/>
              </w:rPr>
              <w:t xml:space="preserve">an </w:t>
            </w:r>
            <w:r w:rsidR="00F9379B" w:rsidRPr="004D4906">
              <w:rPr>
                <w:rFonts w:ascii="Arial" w:hAnsi="Arial" w:cs="Arial"/>
                <w:sz w:val="20"/>
                <w:szCs w:val="20"/>
              </w:rPr>
              <w:t>Ordinary</w:t>
            </w:r>
            <w:r w:rsidRPr="004D4906">
              <w:rPr>
                <w:rFonts w:ascii="Arial" w:hAnsi="Arial" w:cs="Arial"/>
                <w:sz w:val="20"/>
                <w:szCs w:val="20"/>
              </w:rPr>
              <w:t xml:space="preserve"> </w:t>
            </w:r>
            <w:r w:rsidR="004527B6" w:rsidRPr="004D4906">
              <w:rPr>
                <w:rFonts w:ascii="Arial" w:hAnsi="Arial" w:cs="Arial"/>
                <w:sz w:val="20"/>
                <w:szCs w:val="20"/>
              </w:rPr>
              <w:t>Share</w:t>
            </w:r>
            <w:r w:rsidRPr="004D4906">
              <w:rPr>
                <w:rFonts w:ascii="Arial" w:hAnsi="Arial" w:cs="Arial"/>
                <w:sz w:val="20"/>
                <w:szCs w:val="20"/>
              </w:rPr>
              <w:t xml:space="preserve"> at the then applicable conversion rate in the event of the closing of a firm commitment underwritten public offering [with a price of </w:t>
            </w:r>
            <w:r w:rsidR="0098572D" w:rsidRPr="004A6DDB">
              <w:rPr>
                <w:rFonts w:ascii="Arial" w:hAnsi="Arial" w:cs="Arial"/>
                <w:sz w:val="20"/>
                <w:szCs w:val="20"/>
              </w:rPr>
              <w:t>[●]</w:t>
            </w:r>
            <w:r w:rsidRPr="004D4906">
              <w:rPr>
                <w:rFonts w:ascii="Arial" w:hAnsi="Arial" w:cs="Arial"/>
                <w:b/>
                <w:bCs/>
                <w:sz w:val="20"/>
                <w:szCs w:val="20"/>
              </w:rPr>
              <w:t xml:space="preserve"> </w:t>
            </w:r>
            <w:r w:rsidRPr="004D4906">
              <w:rPr>
                <w:rFonts w:ascii="Arial" w:hAnsi="Arial" w:cs="Arial"/>
                <w:sz w:val="20"/>
                <w:szCs w:val="20"/>
              </w:rPr>
              <w:t xml:space="preserve">times the Original </w:t>
            </w:r>
            <w:r w:rsidR="007C7FB4" w:rsidRPr="004D4906">
              <w:rPr>
                <w:rFonts w:ascii="Arial" w:hAnsi="Arial" w:cs="Arial"/>
                <w:sz w:val="20"/>
                <w:szCs w:val="20"/>
              </w:rPr>
              <w:t>Subscription</w:t>
            </w:r>
            <w:r w:rsidR="007C7FB4" w:rsidRPr="004D4906" w:rsidDel="007C7FB4">
              <w:rPr>
                <w:rFonts w:ascii="Arial" w:hAnsi="Arial" w:cs="Arial"/>
                <w:sz w:val="20"/>
                <w:szCs w:val="20"/>
              </w:rPr>
              <w:t xml:space="preserve"> </w:t>
            </w:r>
            <w:r w:rsidRPr="004D4906">
              <w:rPr>
                <w:rFonts w:ascii="Arial" w:hAnsi="Arial" w:cs="Arial"/>
                <w:sz w:val="20"/>
                <w:szCs w:val="20"/>
              </w:rPr>
              <w:t xml:space="preserve">Price] (subject to adjustments for </w:t>
            </w:r>
            <w:r w:rsidR="004527B6" w:rsidRPr="004D4906">
              <w:rPr>
                <w:rFonts w:ascii="Arial" w:hAnsi="Arial" w:cs="Arial"/>
                <w:sz w:val="20"/>
                <w:szCs w:val="20"/>
              </w:rPr>
              <w:t>Share</w:t>
            </w:r>
            <w:r w:rsidRPr="004D4906">
              <w:rPr>
                <w:rFonts w:ascii="Arial" w:hAnsi="Arial" w:cs="Arial"/>
                <w:sz w:val="20"/>
                <w:szCs w:val="20"/>
              </w:rPr>
              <w:t xml:space="preserve"> dividends, splits, combinations and similar events) and [gross] proceeds to the Company of not less than </w:t>
            </w:r>
            <w:r w:rsidR="0098572D" w:rsidRPr="004A6DDB">
              <w:rPr>
                <w:rFonts w:ascii="Arial" w:hAnsi="Arial" w:cs="Arial"/>
                <w:sz w:val="20"/>
                <w:szCs w:val="20"/>
              </w:rPr>
              <w:t>[R[●] ([●])</w:t>
            </w:r>
            <w:r w:rsidR="0098572D" w:rsidRPr="004D4906">
              <w:rPr>
                <w:rFonts w:ascii="Arial" w:hAnsi="Arial" w:cs="Arial"/>
                <w:sz w:val="20"/>
                <w:szCs w:val="20"/>
              </w:rPr>
              <w:t>]</w:t>
            </w:r>
            <w:r w:rsidRPr="004D4906">
              <w:rPr>
                <w:rFonts w:ascii="Arial" w:hAnsi="Arial" w:cs="Arial"/>
                <w:sz w:val="20"/>
                <w:szCs w:val="20"/>
              </w:rPr>
              <w:t xml:space="preserve"> (a “</w:t>
            </w:r>
            <w:r w:rsidRPr="004D4906">
              <w:rPr>
                <w:rFonts w:ascii="Arial" w:hAnsi="Arial" w:cs="Arial"/>
                <w:b/>
                <w:bCs/>
                <w:sz w:val="20"/>
                <w:szCs w:val="20"/>
              </w:rPr>
              <w:t>QPO</w:t>
            </w:r>
            <w:r w:rsidRPr="004D4906">
              <w:rPr>
                <w:rFonts w:ascii="Arial" w:hAnsi="Arial" w:cs="Arial"/>
                <w:sz w:val="20"/>
                <w:szCs w:val="20"/>
              </w:rPr>
              <w:t xml:space="preserve">”), or (ii) upon the written consent of the </w:t>
            </w:r>
            <w:r w:rsidR="005354D7" w:rsidRPr="004D4906">
              <w:rPr>
                <w:rFonts w:ascii="Arial" w:hAnsi="Arial" w:cs="Arial"/>
                <w:sz w:val="20"/>
                <w:szCs w:val="20"/>
              </w:rPr>
              <w:t>Investor Majority</w:t>
            </w:r>
            <w:r w:rsidRPr="004D4906">
              <w:rPr>
                <w:rFonts w:ascii="Arial" w:hAnsi="Arial" w:cs="Arial"/>
                <w:sz w:val="20"/>
                <w:szCs w:val="20"/>
              </w:rPr>
              <w:t xml:space="preserve">. </w:t>
            </w:r>
          </w:p>
        </w:tc>
      </w:tr>
      <w:tr w:rsidR="007B4CA7" w:rsidRPr="004D4906" w14:paraId="15D0D3A3" w14:textId="77777777" w:rsidTr="00CB658A">
        <w:tc>
          <w:tcPr>
            <w:tcW w:w="2010" w:type="pct"/>
            <w:tcBorders>
              <w:top w:val="nil"/>
              <w:left w:val="nil"/>
              <w:bottom w:val="nil"/>
              <w:right w:val="nil"/>
            </w:tcBorders>
          </w:tcPr>
          <w:p w14:paraId="21A81332" w14:textId="77777777" w:rsidR="007B4CA7" w:rsidRPr="004D4906" w:rsidRDefault="007B4CA7" w:rsidP="00CB658A">
            <w:pPr>
              <w:pStyle w:val="TableItalics"/>
              <w:rPr>
                <w:rFonts w:ascii="Arial" w:hAnsi="Arial" w:cs="Arial"/>
                <w:sz w:val="20"/>
                <w:szCs w:val="20"/>
              </w:rPr>
            </w:pPr>
            <w:r w:rsidRPr="004D4906">
              <w:rPr>
                <w:rFonts w:ascii="Arial" w:hAnsi="Arial" w:cs="Arial"/>
                <w:sz w:val="20"/>
                <w:szCs w:val="20"/>
              </w:rPr>
              <w:br w:type="page"/>
            </w:r>
            <w:r w:rsidRPr="004D4906">
              <w:rPr>
                <w:rFonts w:ascii="Arial" w:hAnsi="Arial" w:cs="Arial"/>
                <w:sz w:val="20"/>
                <w:szCs w:val="20"/>
              </w:rPr>
              <w:br w:type="page"/>
            </w:r>
            <w:r w:rsidRPr="004D4906">
              <w:rPr>
                <w:rFonts w:ascii="Arial" w:hAnsi="Arial" w:cs="Arial"/>
                <w:sz w:val="20"/>
                <w:szCs w:val="20"/>
              </w:rPr>
              <w:br w:type="page"/>
            </w:r>
            <w:r w:rsidRPr="004D4906" w:rsidDel="00AF71E9">
              <w:rPr>
                <w:rFonts w:ascii="Arial" w:hAnsi="Arial" w:cs="Arial"/>
                <w:sz w:val="20"/>
                <w:szCs w:val="20"/>
              </w:rPr>
              <w:t xml:space="preserve"> </w:t>
            </w:r>
            <w:r w:rsidRPr="004D4906">
              <w:rPr>
                <w:rFonts w:ascii="Arial" w:hAnsi="Arial" w:cs="Arial"/>
                <w:sz w:val="20"/>
                <w:szCs w:val="20"/>
              </w:rPr>
              <w:t>Pre-emptive Rights on new issues:</w:t>
            </w:r>
          </w:p>
        </w:tc>
        <w:tc>
          <w:tcPr>
            <w:tcW w:w="2990" w:type="pct"/>
            <w:tcBorders>
              <w:top w:val="nil"/>
              <w:left w:val="nil"/>
              <w:bottom w:val="nil"/>
              <w:right w:val="nil"/>
            </w:tcBorders>
          </w:tcPr>
          <w:p w14:paraId="47F52F1E" w14:textId="77777777" w:rsidR="007B4CA7" w:rsidRPr="004D4906" w:rsidRDefault="007B4CA7" w:rsidP="00CB658A">
            <w:pPr>
              <w:pStyle w:val="TableText"/>
              <w:rPr>
                <w:rFonts w:ascii="Arial" w:hAnsi="Arial" w:cs="Arial"/>
                <w:sz w:val="20"/>
                <w:szCs w:val="20"/>
              </w:rPr>
            </w:pPr>
            <w:r w:rsidRPr="004D4906">
              <w:rPr>
                <w:rFonts w:ascii="Arial" w:hAnsi="Arial" w:cs="Arial"/>
                <w:sz w:val="20"/>
                <w:szCs w:val="20"/>
              </w:rPr>
              <w:t>All Shareholders</w:t>
            </w:r>
            <w:r>
              <w:rPr>
                <w:rStyle w:val="FootnoteReference"/>
                <w:rFonts w:cs="Arial"/>
                <w:szCs w:val="20"/>
              </w:rPr>
              <w:footnoteReference w:id="17"/>
            </w:r>
            <w:r w:rsidRPr="004D4906">
              <w:rPr>
                <w:rFonts w:ascii="Arial" w:hAnsi="Arial" w:cs="Arial"/>
                <w:sz w:val="20"/>
                <w:szCs w:val="20"/>
              </w:rPr>
              <w:t xml:space="preserve"> shall have a pro rata right, based on their percentage equity ownership in the Company to participate in subsequent issuances of equity securities of the Company.  Series A Shareholders will participate on an “as converted” basis. In addition, should any Shareholder choose not to subscribe for its full pro rata share, the remaining Shareholders shall have the right to purchase the remaining pro rata shares. </w:t>
            </w:r>
          </w:p>
          <w:p w14:paraId="241D7674" w14:textId="77777777" w:rsidR="007B4CA7" w:rsidRPr="004D4906" w:rsidRDefault="007B4CA7" w:rsidP="00CB658A">
            <w:pPr>
              <w:pStyle w:val="TableText"/>
              <w:rPr>
                <w:rFonts w:ascii="Arial" w:hAnsi="Arial" w:cs="Arial"/>
                <w:sz w:val="20"/>
                <w:szCs w:val="20"/>
              </w:rPr>
            </w:pPr>
            <w:r w:rsidRPr="004D4906">
              <w:rPr>
                <w:rFonts w:ascii="Arial" w:hAnsi="Arial" w:cs="Arial"/>
                <w:sz w:val="20"/>
                <w:szCs w:val="20"/>
              </w:rPr>
              <w:t xml:space="preserve">Pre-emptive rights will not apply to issuances in the circumstances described as exclusions to the “Anti-dilution Provisions” section of this Term Sheet, or if Shares are issued in an IPO).  </w:t>
            </w:r>
          </w:p>
          <w:p w14:paraId="195610D7" w14:textId="77777777" w:rsidR="007B4CA7" w:rsidRPr="004D4906" w:rsidRDefault="007B4CA7" w:rsidP="00CB658A">
            <w:pPr>
              <w:pStyle w:val="TableText"/>
              <w:rPr>
                <w:rFonts w:ascii="Arial" w:hAnsi="Arial" w:cs="Arial"/>
                <w:sz w:val="20"/>
                <w:szCs w:val="20"/>
              </w:rPr>
            </w:pPr>
          </w:p>
        </w:tc>
      </w:tr>
      <w:tr w:rsidR="00C859C1" w:rsidRPr="004D4906" w14:paraId="28EFAD50" w14:textId="77777777" w:rsidTr="0002776F">
        <w:tc>
          <w:tcPr>
            <w:tcW w:w="2010" w:type="pct"/>
            <w:tcBorders>
              <w:top w:val="nil"/>
              <w:left w:val="nil"/>
              <w:bottom w:val="nil"/>
              <w:right w:val="nil"/>
            </w:tcBorders>
          </w:tcPr>
          <w:p w14:paraId="1C3356AA" w14:textId="6FEC1499" w:rsidR="00E91D31" w:rsidRPr="004D4906" w:rsidRDefault="00E91D31" w:rsidP="00E91D31">
            <w:pPr>
              <w:pStyle w:val="TableItalics"/>
              <w:rPr>
                <w:rFonts w:ascii="Arial" w:hAnsi="Arial" w:cs="Arial"/>
                <w:sz w:val="20"/>
                <w:szCs w:val="20"/>
              </w:rPr>
            </w:pPr>
            <w:r w:rsidRPr="004D4906">
              <w:rPr>
                <w:rFonts w:ascii="Arial" w:hAnsi="Arial" w:cs="Arial"/>
                <w:sz w:val="20"/>
                <w:szCs w:val="20"/>
              </w:rPr>
              <w:t>Voting Rights:</w:t>
            </w:r>
          </w:p>
        </w:tc>
        <w:tc>
          <w:tcPr>
            <w:tcW w:w="2990" w:type="pct"/>
            <w:tcBorders>
              <w:top w:val="nil"/>
              <w:left w:val="nil"/>
              <w:bottom w:val="nil"/>
              <w:right w:val="nil"/>
            </w:tcBorders>
          </w:tcPr>
          <w:p w14:paraId="286C9756" w14:textId="06158AF5" w:rsidR="00FB5138" w:rsidRPr="004D4906" w:rsidRDefault="00E91D31" w:rsidP="00E91D31">
            <w:pPr>
              <w:pStyle w:val="TableText"/>
              <w:rPr>
                <w:rFonts w:ascii="Arial" w:hAnsi="Arial" w:cs="Arial"/>
                <w:sz w:val="20"/>
                <w:szCs w:val="20"/>
              </w:rPr>
            </w:pPr>
            <w:r w:rsidRPr="004D4906">
              <w:rPr>
                <w:rFonts w:ascii="Arial" w:hAnsi="Arial" w:cs="Arial"/>
                <w:sz w:val="20"/>
                <w:szCs w:val="20"/>
              </w:rPr>
              <w:t xml:space="preserve">The </w:t>
            </w:r>
            <w:r w:rsidR="001A7801" w:rsidRPr="004D4906">
              <w:rPr>
                <w:rFonts w:ascii="Arial" w:hAnsi="Arial" w:cs="Arial"/>
                <w:sz w:val="20"/>
                <w:szCs w:val="20"/>
              </w:rPr>
              <w:t>Series A Shares</w:t>
            </w:r>
            <w:r w:rsidR="00FB5138" w:rsidRPr="004D4906">
              <w:rPr>
                <w:rFonts w:ascii="Arial" w:hAnsi="Arial" w:cs="Arial"/>
                <w:sz w:val="20"/>
                <w:szCs w:val="20"/>
              </w:rPr>
              <w:t xml:space="preserve"> </w:t>
            </w:r>
            <w:r w:rsidRPr="004D4906">
              <w:rPr>
                <w:rFonts w:ascii="Arial" w:hAnsi="Arial" w:cs="Arial"/>
                <w:sz w:val="20"/>
                <w:szCs w:val="20"/>
              </w:rPr>
              <w:t>shall vote together with the Ordinary Share</w:t>
            </w:r>
            <w:r w:rsidR="00FB5138" w:rsidRPr="004D4906">
              <w:rPr>
                <w:rFonts w:ascii="Arial" w:hAnsi="Arial" w:cs="Arial"/>
                <w:sz w:val="20"/>
                <w:szCs w:val="20"/>
              </w:rPr>
              <w:t>s</w:t>
            </w:r>
            <w:r w:rsidRPr="004D4906">
              <w:rPr>
                <w:rFonts w:ascii="Arial" w:hAnsi="Arial" w:cs="Arial"/>
                <w:sz w:val="20"/>
                <w:szCs w:val="20"/>
              </w:rPr>
              <w:t xml:space="preserve"> on an as-converted basis, and not as a separate class, except </w:t>
            </w:r>
            <w:r w:rsidR="001A7801" w:rsidRPr="004D4906">
              <w:rPr>
                <w:rFonts w:ascii="Arial" w:hAnsi="Arial" w:cs="Arial"/>
                <w:sz w:val="20"/>
                <w:szCs w:val="20"/>
              </w:rPr>
              <w:t xml:space="preserve">as provided in “Protective Provisions” below. </w:t>
            </w:r>
          </w:p>
          <w:p w14:paraId="7890781E" w14:textId="09A905AB" w:rsidR="00E91D31" w:rsidRPr="004D4906" w:rsidRDefault="001A7801" w:rsidP="004D4906">
            <w:pPr>
              <w:pStyle w:val="TableText"/>
              <w:ind w:left="360"/>
              <w:rPr>
                <w:rFonts w:ascii="Arial" w:hAnsi="Arial" w:cs="Arial"/>
                <w:sz w:val="20"/>
                <w:szCs w:val="20"/>
              </w:rPr>
            </w:pPr>
            <w:commentRangeStart w:id="40"/>
            <w:commentRangeEnd w:id="40"/>
            <w:r w:rsidRPr="004D4906">
              <w:rPr>
                <w:rStyle w:val="CommentReference"/>
                <w:rFonts w:ascii="Arial" w:hAnsi="Arial" w:cs="Arial"/>
                <w:sz w:val="20"/>
                <w:szCs w:val="20"/>
              </w:rPr>
              <w:commentReference w:id="40"/>
            </w:r>
          </w:p>
        </w:tc>
      </w:tr>
      <w:tr w:rsidR="00C859C1" w:rsidRPr="004D4906" w14:paraId="7006FFFE" w14:textId="77777777" w:rsidTr="0002776F">
        <w:tc>
          <w:tcPr>
            <w:tcW w:w="2010" w:type="pct"/>
            <w:tcBorders>
              <w:top w:val="nil"/>
              <w:left w:val="nil"/>
              <w:bottom w:val="nil"/>
              <w:right w:val="nil"/>
            </w:tcBorders>
          </w:tcPr>
          <w:p w14:paraId="7CE1C2AB" w14:textId="1F6F35D2" w:rsidR="00E91D31" w:rsidRPr="004D4906" w:rsidRDefault="00E91D31" w:rsidP="00E91D31">
            <w:pPr>
              <w:pStyle w:val="TableItalics"/>
              <w:rPr>
                <w:rFonts w:ascii="Arial" w:hAnsi="Arial" w:cs="Arial"/>
                <w:sz w:val="20"/>
                <w:szCs w:val="20"/>
              </w:rPr>
            </w:pPr>
            <w:commentRangeStart w:id="41"/>
            <w:r w:rsidRPr="004D4906">
              <w:rPr>
                <w:rFonts w:ascii="Arial" w:hAnsi="Arial" w:cs="Arial"/>
                <w:sz w:val="20"/>
                <w:szCs w:val="20"/>
              </w:rPr>
              <w:br w:type="page"/>
            </w:r>
            <w:r w:rsidR="00B876D2" w:rsidRPr="004D4906">
              <w:rPr>
                <w:rFonts w:ascii="Arial" w:hAnsi="Arial" w:cs="Arial"/>
                <w:sz w:val="20"/>
                <w:szCs w:val="20"/>
              </w:rPr>
              <w:t>Board of Directors</w:t>
            </w:r>
            <w:r w:rsidRPr="004D4906">
              <w:rPr>
                <w:rFonts w:ascii="Arial" w:hAnsi="Arial" w:cs="Arial"/>
                <w:sz w:val="20"/>
                <w:szCs w:val="20"/>
              </w:rPr>
              <w:t>:</w:t>
            </w:r>
            <w:commentRangeEnd w:id="41"/>
            <w:r w:rsidR="005764F1" w:rsidRPr="004D4906">
              <w:rPr>
                <w:rStyle w:val="CommentReference"/>
                <w:rFonts w:ascii="Arial" w:hAnsi="Arial" w:cs="Arial"/>
                <w:sz w:val="20"/>
                <w:szCs w:val="20"/>
              </w:rPr>
              <w:commentReference w:id="41"/>
            </w:r>
          </w:p>
        </w:tc>
        <w:tc>
          <w:tcPr>
            <w:tcW w:w="2990" w:type="pct"/>
            <w:tcBorders>
              <w:top w:val="nil"/>
              <w:left w:val="nil"/>
              <w:bottom w:val="nil"/>
              <w:right w:val="nil"/>
            </w:tcBorders>
          </w:tcPr>
          <w:p w14:paraId="77848484" w14:textId="3E3D3BB5" w:rsidR="00A927AD" w:rsidRPr="004D4906" w:rsidRDefault="00E91D31" w:rsidP="00E91D31">
            <w:pPr>
              <w:pStyle w:val="TableText"/>
              <w:rPr>
                <w:rFonts w:ascii="Arial" w:hAnsi="Arial" w:cs="Arial"/>
                <w:sz w:val="20"/>
                <w:szCs w:val="20"/>
              </w:rPr>
            </w:pPr>
            <w:r w:rsidRPr="004D4906">
              <w:rPr>
                <w:rFonts w:ascii="Arial" w:hAnsi="Arial" w:cs="Arial"/>
                <w:sz w:val="20"/>
                <w:szCs w:val="20"/>
              </w:rPr>
              <w:t>At the Closing, the Board of Directors shall consist of [</w:t>
            </w:r>
            <w:r w:rsidR="0098572D">
              <w:rPr>
                <w:rFonts w:ascii="Arial" w:hAnsi="Arial" w:cs="Arial"/>
                <w:sz w:val="20"/>
                <w:szCs w:val="20"/>
              </w:rPr>
              <w:t>●</w:t>
            </w:r>
            <w:r w:rsidRPr="004D4906">
              <w:rPr>
                <w:rFonts w:ascii="Arial" w:hAnsi="Arial" w:cs="Arial"/>
                <w:sz w:val="20"/>
                <w:szCs w:val="20"/>
              </w:rPr>
              <w:t>] members comprised of</w:t>
            </w:r>
            <w:r w:rsidR="00A927AD" w:rsidRPr="004D4906">
              <w:rPr>
                <w:rFonts w:ascii="Arial" w:hAnsi="Arial" w:cs="Arial"/>
                <w:sz w:val="20"/>
                <w:szCs w:val="20"/>
              </w:rPr>
              <w:t>:</w:t>
            </w:r>
          </w:p>
          <w:p w14:paraId="66D350BB" w14:textId="4E2860CD" w:rsidR="00A927AD" w:rsidRPr="004D4906" w:rsidRDefault="00E91D31" w:rsidP="00A927AD">
            <w:pPr>
              <w:pStyle w:val="TableText"/>
              <w:numPr>
                <w:ilvl w:val="0"/>
                <w:numId w:val="46"/>
              </w:numPr>
              <w:tabs>
                <w:tab w:val="clear" w:pos="432"/>
                <w:tab w:val="left" w:pos="808"/>
              </w:tabs>
              <w:rPr>
                <w:rFonts w:ascii="Arial" w:hAnsi="Arial" w:cs="Arial"/>
                <w:sz w:val="20"/>
                <w:szCs w:val="20"/>
              </w:rPr>
            </w:pPr>
            <w:r w:rsidRPr="004D4906">
              <w:rPr>
                <w:rFonts w:ascii="Arial" w:hAnsi="Arial" w:cs="Arial"/>
                <w:sz w:val="20"/>
                <w:szCs w:val="20"/>
              </w:rPr>
              <w:t>[</w:t>
            </w:r>
            <w:r w:rsidRPr="004D4906">
              <w:rPr>
                <w:rFonts w:ascii="Arial" w:hAnsi="Arial" w:cs="Arial"/>
                <w:i/>
                <w:iCs/>
                <w:sz w:val="20"/>
                <w:szCs w:val="20"/>
              </w:rPr>
              <w:t>name</w:t>
            </w:r>
            <w:r w:rsidRPr="004D4906">
              <w:rPr>
                <w:rFonts w:ascii="Arial" w:hAnsi="Arial" w:cs="Arial"/>
                <w:sz w:val="20"/>
                <w:szCs w:val="20"/>
              </w:rPr>
              <w:t xml:space="preserve">] as [the representative designated by </w:t>
            </w:r>
            <w:r w:rsidR="0098572D" w:rsidRPr="004D4906">
              <w:rPr>
                <w:rFonts w:ascii="Arial" w:hAnsi="Arial" w:cs="Arial"/>
                <w:sz w:val="20"/>
                <w:szCs w:val="20"/>
              </w:rPr>
              <w:t>[</w:t>
            </w:r>
            <w:r w:rsidR="0098572D">
              <w:rPr>
                <w:rFonts w:ascii="Arial" w:hAnsi="Arial" w:cs="Arial"/>
                <w:sz w:val="20"/>
                <w:szCs w:val="20"/>
              </w:rPr>
              <w:t>●</w:t>
            </w:r>
            <w:r w:rsidR="0098572D" w:rsidRPr="004D4906">
              <w:rPr>
                <w:rFonts w:ascii="Arial" w:hAnsi="Arial" w:cs="Arial"/>
                <w:sz w:val="20"/>
                <w:szCs w:val="20"/>
              </w:rPr>
              <w:t>]</w:t>
            </w:r>
            <w:r w:rsidRPr="004D4906">
              <w:rPr>
                <w:rFonts w:ascii="Arial" w:hAnsi="Arial" w:cs="Arial"/>
                <w:sz w:val="20"/>
                <w:szCs w:val="20"/>
              </w:rPr>
              <w:t xml:space="preserve">, as the lead Investor, </w:t>
            </w:r>
          </w:p>
          <w:p w14:paraId="527B59BF" w14:textId="3F9D0C37" w:rsidR="00A927AD" w:rsidRPr="004D4906" w:rsidRDefault="00E91D31" w:rsidP="00A927AD">
            <w:pPr>
              <w:pStyle w:val="TableText"/>
              <w:numPr>
                <w:ilvl w:val="0"/>
                <w:numId w:val="46"/>
              </w:numPr>
              <w:tabs>
                <w:tab w:val="clear" w:pos="432"/>
                <w:tab w:val="left" w:pos="808"/>
              </w:tabs>
              <w:rPr>
                <w:rFonts w:ascii="Arial" w:hAnsi="Arial" w:cs="Arial"/>
                <w:sz w:val="20"/>
                <w:szCs w:val="20"/>
              </w:rPr>
            </w:pPr>
            <w:r w:rsidRPr="004D4906">
              <w:rPr>
                <w:rFonts w:ascii="Arial" w:hAnsi="Arial" w:cs="Arial"/>
                <w:sz w:val="20"/>
                <w:szCs w:val="20"/>
              </w:rPr>
              <w:t xml:space="preserve"> [name] as the representative designated by the remaining Investors, </w:t>
            </w:r>
          </w:p>
          <w:p w14:paraId="54FFB685" w14:textId="69CF0374" w:rsidR="00A927AD" w:rsidRPr="004D4906" w:rsidRDefault="00E91D31" w:rsidP="00A927AD">
            <w:pPr>
              <w:pStyle w:val="TableText"/>
              <w:numPr>
                <w:ilvl w:val="0"/>
                <w:numId w:val="46"/>
              </w:numPr>
              <w:tabs>
                <w:tab w:val="clear" w:pos="432"/>
                <w:tab w:val="left" w:pos="808"/>
              </w:tabs>
              <w:rPr>
                <w:rFonts w:ascii="Arial" w:hAnsi="Arial" w:cs="Arial"/>
                <w:sz w:val="20"/>
                <w:szCs w:val="20"/>
              </w:rPr>
            </w:pPr>
            <w:r w:rsidRPr="004D4906">
              <w:rPr>
                <w:rFonts w:ascii="Arial" w:hAnsi="Arial" w:cs="Arial"/>
                <w:sz w:val="20"/>
                <w:szCs w:val="20"/>
              </w:rPr>
              <w:t xml:space="preserve">[name] as the representative designated by the Ordinary Shareholders, </w:t>
            </w:r>
          </w:p>
          <w:p w14:paraId="61FF04BD" w14:textId="45C46064" w:rsidR="00A927AD" w:rsidRPr="004D4906" w:rsidRDefault="00E91D31" w:rsidP="00A927AD">
            <w:pPr>
              <w:pStyle w:val="TableText"/>
              <w:numPr>
                <w:ilvl w:val="0"/>
                <w:numId w:val="46"/>
              </w:numPr>
              <w:tabs>
                <w:tab w:val="clear" w:pos="432"/>
                <w:tab w:val="left" w:pos="808"/>
              </w:tabs>
              <w:rPr>
                <w:rFonts w:ascii="Arial" w:hAnsi="Arial" w:cs="Arial"/>
                <w:sz w:val="20"/>
                <w:szCs w:val="20"/>
              </w:rPr>
            </w:pPr>
            <w:r w:rsidRPr="004D4906">
              <w:rPr>
                <w:rFonts w:ascii="Arial" w:hAnsi="Arial" w:cs="Arial"/>
                <w:sz w:val="20"/>
                <w:szCs w:val="20"/>
              </w:rPr>
              <w:t xml:space="preserve">the person then serving as the Chief Executive Officer of the Company, and </w:t>
            </w:r>
          </w:p>
          <w:p w14:paraId="7BF60604" w14:textId="7E166E56" w:rsidR="00E91D31" w:rsidRPr="004D4906" w:rsidRDefault="0098572D" w:rsidP="004D4906">
            <w:pPr>
              <w:pStyle w:val="TableText"/>
              <w:numPr>
                <w:ilvl w:val="0"/>
                <w:numId w:val="46"/>
              </w:numPr>
              <w:tabs>
                <w:tab w:val="clear" w:pos="432"/>
                <w:tab w:val="left" w:pos="808"/>
              </w:tabs>
              <w:rPr>
                <w:rFonts w:ascii="Arial" w:hAnsi="Arial" w:cs="Arial"/>
                <w:sz w:val="20"/>
                <w:szCs w:val="20"/>
              </w:rPr>
            </w:pPr>
            <w:r w:rsidRPr="004D4906">
              <w:rPr>
                <w:rFonts w:ascii="Arial" w:hAnsi="Arial" w:cs="Arial"/>
                <w:sz w:val="20"/>
                <w:szCs w:val="20"/>
              </w:rPr>
              <w:lastRenderedPageBreak/>
              <w:t>[</w:t>
            </w:r>
            <w:r>
              <w:rPr>
                <w:rFonts w:ascii="Arial" w:hAnsi="Arial" w:cs="Arial"/>
                <w:sz w:val="20"/>
                <w:szCs w:val="20"/>
              </w:rPr>
              <w:t>●</w:t>
            </w:r>
            <w:r w:rsidRPr="004D4906">
              <w:rPr>
                <w:rFonts w:ascii="Arial" w:hAnsi="Arial" w:cs="Arial"/>
                <w:sz w:val="20"/>
                <w:szCs w:val="20"/>
              </w:rPr>
              <w:t>]</w:t>
            </w:r>
            <w:r w:rsidR="00E91D31" w:rsidRPr="004D4906">
              <w:rPr>
                <w:rFonts w:ascii="Arial" w:hAnsi="Arial" w:cs="Arial"/>
                <w:sz w:val="20"/>
                <w:szCs w:val="20"/>
              </w:rPr>
              <w:t xml:space="preserve"> person(s) who are not employed by the Company and who are mutually acceptable [to the other directors].</w:t>
            </w:r>
          </w:p>
        </w:tc>
      </w:tr>
      <w:tr w:rsidR="00C859C1" w:rsidRPr="004D4906" w14:paraId="5868674D" w14:textId="77777777" w:rsidTr="0002776F">
        <w:tc>
          <w:tcPr>
            <w:tcW w:w="2010" w:type="pct"/>
            <w:tcBorders>
              <w:top w:val="nil"/>
              <w:left w:val="nil"/>
              <w:bottom w:val="nil"/>
              <w:right w:val="nil"/>
            </w:tcBorders>
          </w:tcPr>
          <w:p w14:paraId="1CB210AC" w14:textId="0A18F8D6" w:rsidR="00E91D31" w:rsidRPr="004D4906" w:rsidRDefault="00E91D31" w:rsidP="00E91D31">
            <w:pPr>
              <w:pStyle w:val="TableItalics"/>
              <w:rPr>
                <w:rFonts w:ascii="Arial" w:hAnsi="Arial" w:cs="Arial"/>
                <w:sz w:val="20"/>
                <w:szCs w:val="20"/>
              </w:rPr>
            </w:pPr>
            <w:r w:rsidRPr="004D4906">
              <w:rPr>
                <w:rFonts w:ascii="Arial" w:hAnsi="Arial" w:cs="Arial"/>
                <w:sz w:val="20"/>
                <w:szCs w:val="20"/>
              </w:rPr>
              <w:lastRenderedPageBreak/>
              <w:t>Board Matters:</w:t>
            </w:r>
          </w:p>
        </w:tc>
        <w:tc>
          <w:tcPr>
            <w:tcW w:w="2990" w:type="pct"/>
            <w:tcBorders>
              <w:top w:val="nil"/>
              <w:left w:val="nil"/>
              <w:bottom w:val="nil"/>
              <w:right w:val="nil"/>
            </w:tcBorders>
          </w:tcPr>
          <w:p w14:paraId="7636630F" w14:textId="6CF5718E" w:rsidR="00E91D31" w:rsidRPr="004D4906" w:rsidRDefault="00E91D31" w:rsidP="00E91D31">
            <w:pPr>
              <w:pStyle w:val="TableText"/>
              <w:rPr>
                <w:rFonts w:ascii="Arial" w:hAnsi="Arial" w:cs="Arial"/>
                <w:sz w:val="20"/>
                <w:szCs w:val="20"/>
              </w:rPr>
            </w:pPr>
            <w:r w:rsidRPr="004D4906">
              <w:rPr>
                <w:rFonts w:ascii="Arial" w:hAnsi="Arial" w:cs="Arial"/>
                <w:sz w:val="20"/>
                <w:szCs w:val="20"/>
              </w:rPr>
              <w:t xml:space="preserve">[Each Board Committee/the Nominating and Audit Committee shall include at least one </w:t>
            </w:r>
            <w:r w:rsidR="00C44739">
              <w:rPr>
                <w:rFonts w:ascii="Arial" w:hAnsi="Arial" w:cs="Arial"/>
                <w:sz w:val="20"/>
                <w:szCs w:val="20"/>
              </w:rPr>
              <w:t>Preference</w:t>
            </w:r>
            <w:r w:rsidRPr="004D4906">
              <w:rPr>
                <w:rFonts w:ascii="Arial" w:hAnsi="Arial" w:cs="Arial"/>
                <w:sz w:val="20"/>
                <w:szCs w:val="20"/>
              </w:rPr>
              <w:t xml:space="preserve"> Director.]  Company to reimburse [non</w:t>
            </w:r>
            <w:r w:rsidR="00CB38DE" w:rsidRPr="004D4906">
              <w:rPr>
                <w:rFonts w:ascii="Arial" w:hAnsi="Arial" w:cs="Arial"/>
                <w:sz w:val="20"/>
                <w:szCs w:val="20"/>
              </w:rPr>
              <w:t>-</w:t>
            </w:r>
            <w:r w:rsidRPr="004D4906">
              <w:rPr>
                <w:rFonts w:ascii="Arial" w:hAnsi="Arial" w:cs="Arial"/>
                <w:sz w:val="20"/>
                <w:szCs w:val="20"/>
              </w:rPr>
              <w:t xml:space="preserve">employee] directors for reasonable out-of-pocket expenses incurred in connection with attending Board meeting. The Company will bind D&amp;O insurance with a carrier and in an amount satisfactory to the Board of Directors.  Company to enter into Indemnification Agreement with each </w:t>
            </w:r>
            <w:r w:rsidR="00C44739">
              <w:rPr>
                <w:rFonts w:ascii="Arial" w:hAnsi="Arial" w:cs="Arial"/>
                <w:sz w:val="20"/>
                <w:szCs w:val="20"/>
              </w:rPr>
              <w:t>Preference</w:t>
            </w:r>
            <w:r w:rsidRPr="004D4906">
              <w:rPr>
                <w:rFonts w:ascii="Arial" w:hAnsi="Arial" w:cs="Arial"/>
                <w:sz w:val="20"/>
                <w:szCs w:val="20"/>
              </w:rPr>
              <w:t xml:space="preserve"> Director with provisions benefitting their affiliated funds in form acceptable to such director.  In the event the Company merges with another entity and is not the surviving entity, or transfers all of its assets, </w:t>
            </w:r>
            <w:r w:rsidR="00F81B55" w:rsidRPr="004D4906">
              <w:rPr>
                <w:rFonts w:ascii="Arial" w:hAnsi="Arial" w:cs="Arial"/>
                <w:sz w:val="20"/>
                <w:szCs w:val="20"/>
              </w:rPr>
              <w:t>then appropriate arrangements</w:t>
            </w:r>
            <w:r w:rsidRPr="004D4906">
              <w:rPr>
                <w:rFonts w:ascii="Arial" w:hAnsi="Arial" w:cs="Arial"/>
                <w:sz w:val="20"/>
                <w:szCs w:val="20"/>
              </w:rPr>
              <w:t xml:space="preserve"> shall be made so that successors of the Company assume the Company’s obligations with respect to indemnification of Directors.  </w:t>
            </w:r>
          </w:p>
        </w:tc>
      </w:tr>
      <w:tr w:rsidR="00B876D2" w:rsidRPr="004D4906" w14:paraId="11483711" w14:textId="77777777" w:rsidTr="0002776F">
        <w:tc>
          <w:tcPr>
            <w:tcW w:w="2010" w:type="pct"/>
            <w:tcBorders>
              <w:top w:val="nil"/>
              <w:left w:val="nil"/>
              <w:bottom w:val="nil"/>
              <w:right w:val="nil"/>
            </w:tcBorders>
          </w:tcPr>
          <w:p w14:paraId="2768FDD5" w14:textId="7B955226" w:rsidR="00B876D2" w:rsidRPr="004D4906" w:rsidRDefault="00B876D2" w:rsidP="00B876D2">
            <w:pPr>
              <w:pStyle w:val="TableItalics"/>
              <w:rPr>
                <w:rFonts w:ascii="Arial" w:hAnsi="Arial" w:cs="Arial"/>
                <w:sz w:val="20"/>
                <w:szCs w:val="20"/>
              </w:rPr>
            </w:pPr>
            <w:r w:rsidRPr="004D4906">
              <w:rPr>
                <w:rFonts w:ascii="Arial" w:hAnsi="Arial" w:cs="Arial"/>
                <w:sz w:val="20"/>
                <w:szCs w:val="20"/>
              </w:rPr>
              <w:t>Resolutions</w:t>
            </w:r>
            <w:r w:rsidR="00826D30" w:rsidRPr="004D4906">
              <w:rPr>
                <w:rFonts w:ascii="Arial" w:hAnsi="Arial" w:cs="Arial"/>
                <w:sz w:val="20"/>
                <w:szCs w:val="20"/>
              </w:rPr>
              <w:t xml:space="preserve"> &amp; Quorum</w:t>
            </w:r>
          </w:p>
        </w:tc>
        <w:tc>
          <w:tcPr>
            <w:tcW w:w="2990" w:type="pct"/>
            <w:tcBorders>
              <w:top w:val="nil"/>
              <w:left w:val="nil"/>
              <w:bottom w:val="nil"/>
              <w:right w:val="nil"/>
            </w:tcBorders>
          </w:tcPr>
          <w:p w14:paraId="3887E1E0" w14:textId="77777777" w:rsidR="00B876D2" w:rsidRPr="004D4906" w:rsidRDefault="00B876D2" w:rsidP="00B876D2">
            <w:pPr>
              <w:pStyle w:val="TableText"/>
              <w:rPr>
                <w:rFonts w:ascii="Arial" w:hAnsi="Arial" w:cs="Arial"/>
                <w:sz w:val="20"/>
                <w:szCs w:val="20"/>
              </w:rPr>
            </w:pPr>
            <w:r w:rsidRPr="004D4906">
              <w:rPr>
                <w:rFonts w:ascii="Arial" w:hAnsi="Arial" w:cs="Arial"/>
                <w:sz w:val="20"/>
                <w:szCs w:val="20"/>
              </w:rPr>
              <w:t xml:space="preserve">Subject to the requirements for Protective Provisions dealt with below: </w:t>
            </w:r>
          </w:p>
          <w:p w14:paraId="4FF10FC9" w14:textId="3A638811" w:rsidR="00B876D2" w:rsidRPr="004D4906" w:rsidRDefault="00B876D2" w:rsidP="00085B60">
            <w:pPr>
              <w:pStyle w:val="TableText"/>
              <w:numPr>
                <w:ilvl w:val="0"/>
                <w:numId w:val="17"/>
              </w:numPr>
              <w:rPr>
                <w:rFonts w:ascii="Arial" w:hAnsi="Arial" w:cs="Arial"/>
                <w:sz w:val="20"/>
                <w:szCs w:val="20"/>
              </w:rPr>
            </w:pPr>
            <w:r w:rsidRPr="004D4906">
              <w:rPr>
                <w:rFonts w:ascii="Arial" w:hAnsi="Arial" w:cs="Arial"/>
                <w:sz w:val="20"/>
                <w:szCs w:val="20"/>
              </w:rPr>
              <w:t xml:space="preserve">All ordinary resolutions require </w:t>
            </w:r>
            <w:r w:rsidR="00CB38DE" w:rsidRPr="004D4906">
              <w:rPr>
                <w:rFonts w:ascii="Arial" w:hAnsi="Arial" w:cs="Arial"/>
                <w:sz w:val="20"/>
                <w:szCs w:val="20"/>
              </w:rPr>
              <w:t xml:space="preserve">more than </w:t>
            </w:r>
            <w:r w:rsidRPr="004D4906">
              <w:rPr>
                <w:rFonts w:ascii="Arial" w:hAnsi="Arial" w:cs="Arial"/>
                <w:sz w:val="20"/>
                <w:szCs w:val="20"/>
              </w:rPr>
              <w:t xml:space="preserve">50% of </w:t>
            </w:r>
            <w:r w:rsidR="00D5675B" w:rsidRPr="004D4906">
              <w:rPr>
                <w:rFonts w:ascii="Arial" w:hAnsi="Arial" w:cs="Arial"/>
                <w:sz w:val="20"/>
                <w:szCs w:val="20"/>
              </w:rPr>
              <w:t>the voting rights exercised on the resolution</w:t>
            </w:r>
            <w:r w:rsidR="00D5675B" w:rsidRPr="004D4906" w:rsidDel="00D5675B">
              <w:rPr>
                <w:rFonts w:ascii="Arial" w:hAnsi="Arial" w:cs="Arial"/>
                <w:sz w:val="20"/>
                <w:szCs w:val="20"/>
              </w:rPr>
              <w:t xml:space="preserve"> </w:t>
            </w:r>
            <w:r w:rsidRPr="004D4906">
              <w:rPr>
                <w:rFonts w:ascii="Arial" w:hAnsi="Arial" w:cs="Arial"/>
                <w:sz w:val="20"/>
                <w:szCs w:val="20"/>
              </w:rPr>
              <w:t xml:space="preserve">to be passed. </w:t>
            </w:r>
          </w:p>
          <w:p w14:paraId="2715C1E7" w14:textId="77777777" w:rsidR="00B876D2" w:rsidRPr="004D4906" w:rsidRDefault="00B876D2" w:rsidP="00085B60">
            <w:pPr>
              <w:pStyle w:val="TableText"/>
              <w:numPr>
                <w:ilvl w:val="0"/>
                <w:numId w:val="17"/>
              </w:numPr>
              <w:rPr>
                <w:rFonts w:ascii="Arial" w:hAnsi="Arial" w:cs="Arial"/>
                <w:sz w:val="20"/>
                <w:szCs w:val="20"/>
              </w:rPr>
            </w:pPr>
            <w:r w:rsidRPr="004D4906">
              <w:rPr>
                <w:rFonts w:ascii="Arial" w:hAnsi="Arial" w:cs="Arial"/>
                <w:sz w:val="20"/>
                <w:szCs w:val="20"/>
              </w:rPr>
              <w:t xml:space="preserve">All special resolutions require </w:t>
            </w:r>
            <w:r w:rsidR="00D5675B" w:rsidRPr="004D4906">
              <w:rPr>
                <w:rFonts w:ascii="Arial" w:hAnsi="Arial" w:cs="Arial"/>
                <w:sz w:val="20"/>
                <w:szCs w:val="20"/>
              </w:rPr>
              <w:t xml:space="preserve">at least </w:t>
            </w:r>
            <w:r w:rsidRPr="004D4906">
              <w:rPr>
                <w:rFonts w:ascii="Arial" w:hAnsi="Arial" w:cs="Arial"/>
                <w:sz w:val="20"/>
                <w:szCs w:val="20"/>
              </w:rPr>
              <w:t xml:space="preserve">75% of </w:t>
            </w:r>
            <w:r w:rsidR="00F1153C" w:rsidRPr="004D4906">
              <w:rPr>
                <w:rFonts w:ascii="Arial" w:hAnsi="Arial" w:cs="Arial"/>
                <w:sz w:val="20"/>
                <w:szCs w:val="20"/>
              </w:rPr>
              <w:t>t</w:t>
            </w:r>
            <w:r w:rsidR="00D5675B" w:rsidRPr="004D4906">
              <w:rPr>
                <w:rFonts w:ascii="Arial" w:hAnsi="Arial" w:cs="Arial"/>
                <w:sz w:val="20"/>
                <w:szCs w:val="20"/>
              </w:rPr>
              <w:t>he voting rights exercised on the resolution</w:t>
            </w:r>
            <w:r w:rsidR="00D5675B" w:rsidRPr="004D4906" w:rsidDel="00D5675B">
              <w:rPr>
                <w:rFonts w:ascii="Arial" w:hAnsi="Arial" w:cs="Arial"/>
                <w:sz w:val="20"/>
                <w:szCs w:val="20"/>
              </w:rPr>
              <w:t xml:space="preserve"> </w:t>
            </w:r>
            <w:r w:rsidRPr="004D4906">
              <w:rPr>
                <w:rFonts w:ascii="Arial" w:hAnsi="Arial" w:cs="Arial"/>
                <w:sz w:val="20"/>
                <w:szCs w:val="20"/>
              </w:rPr>
              <w:t>to be passed</w:t>
            </w:r>
            <w:r w:rsidR="00085B60" w:rsidRPr="004D4906">
              <w:rPr>
                <w:rFonts w:ascii="Arial" w:hAnsi="Arial" w:cs="Arial"/>
                <w:sz w:val="20"/>
                <w:szCs w:val="20"/>
              </w:rPr>
              <w:t>.</w:t>
            </w:r>
          </w:p>
          <w:p w14:paraId="01DE96B2" w14:textId="673C4A5D" w:rsidR="00826D30" w:rsidRPr="004D4906" w:rsidRDefault="00F107B0" w:rsidP="00F107B0">
            <w:pPr>
              <w:pStyle w:val="TableText"/>
              <w:tabs>
                <w:tab w:val="clear" w:pos="432"/>
                <w:tab w:val="left" w:pos="0"/>
              </w:tabs>
              <w:rPr>
                <w:rFonts w:ascii="Arial" w:hAnsi="Arial" w:cs="Arial"/>
                <w:sz w:val="20"/>
                <w:szCs w:val="20"/>
              </w:rPr>
            </w:pPr>
            <w:r w:rsidRPr="004D4906">
              <w:rPr>
                <w:rFonts w:ascii="Arial" w:hAnsi="Arial" w:cs="Arial"/>
                <w:sz w:val="20"/>
                <w:szCs w:val="20"/>
              </w:rPr>
              <w:t xml:space="preserve">Quorum for meetings of Shareholders will require at least [a </w:t>
            </w:r>
            <w:commentRangeStart w:id="42"/>
            <w:r w:rsidRPr="004D4906">
              <w:rPr>
                <w:rFonts w:ascii="Arial" w:hAnsi="Arial" w:cs="Arial"/>
                <w:sz w:val="20"/>
                <w:szCs w:val="20"/>
              </w:rPr>
              <w:t xml:space="preserve">majority of Preference Shareholders </w:t>
            </w:r>
            <w:commentRangeEnd w:id="42"/>
            <w:r w:rsidRPr="004D4906">
              <w:rPr>
                <w:rStyle w:val="CommentReference"/>
                <w:rFonts w:ascii="Arial" w:hAnsi="Arial" w:cs="Arial"/>
                <w:sz w:val="20"/>
                <w:szCs w:val="20"/>
              </w:rPr>
              <w:commentReference w:id="42"/>
            </w:r>
            <w:r w:rsidRPr="004D4906">
              <w:rPr>
                <w:rFonts w:ascii="Arial" w:hAnsi="Arial" w:cs="Arial"/>
                <w:sz w:val="20"/>
                <w:szCs w:val="20"/>
              </w:rPr>
              <w:t>and a majority of Ordinary Shareholders], provided that any meeting adjourned for lack of quorum will then be quorate at the next, adjourned meeting.</w:t>
            </w:r>
          </w:p>
        </w:tc>
      </w:tr>
      <w:tr w:rsidR="00C859C1" w:rsidRPr="004D4906" w14:paraId="34E5B202" w14:textId="77777777" w:rsidTr="0002776F">
        <w:tc>
          <w:tcPr>
            <w:tcW w:w="2010" w:type="pct"/>
            <w:tcBorders>
              <w:top w:val="nil"/>
              <w:left w:val="nil"/>
              <w:bottom w:val="nil"/>
              <w:right w:val="nil"/>
            </w:tcBorders>
          </w:tcPr>
          <w:p w14:paraId="05B4CD2E" w14:textId="08C224C9" w:rsidR="00E91D31" w:rsidRPr="004D4906" w:rsidRDefault="00E91D31" w:rsidP="00E91D31">
            <w:pPr>
              <w:pStyle w:val="TableItalics"/>
              <w:rPr>
                <w:rFonts w:ascii="Arial" w:hAnsi="Arial" w:cs="Arial"/>
                <w:sz w:val="20"/>
                <w:szCs w:val="20"/>
              </w:rPr>
            </w:pPr>
            <w:r w:rsidRPr="004D4906">
              <w:rPr>
                <w:rFonts w:ascii="Arial" w:hAnsi="Arial" w:cs="Arial"/>
                <w:sz w:val="20"/>
                <w:szCs w:val="20"/>
              </w:rPr>
              <w:br w:type="page"/>
            </w:r>
            <w:r w:rsidRPr="004D4906">
              <w:rPr>
                <w:rFonts w:ascii="Arial" w:hAnsi="Arial" w:cs="Arial"/>
                <w:sz w:val="20"/>
                <w:szCs w:val="20"/>
              </w:rPr>
              <w:br w:type="page"/>
            </w:r>
            <w:r w:rsidRPr="004D4906">
              <w:rPr>
                <w:rFonts w:ascii="Arial" w:hAnsi="Arial" w:cs="Arial"/>
                <w:sz w:val="20"/>
                <w:szCs w:val="20"/>
              </w:rPr>
              <w:br w:type="page"/>
            </w:r>
            <w:r w:rsidRPr="004D4906">
              <w:rPr>
                <w:rFonts w:ascii="Arial" w:hAnsi="Arial" w:cs="Arial"/>
                <w:sz w:val="20"/>
                <w:szCs w:val="20"/>
              </w:rPr>
              <w:br w:type="page"/>
              <w:t xml:space="preserve">Protective Provisions: </w:t>
            </w:r>
          </w:p>
        </w:tc>
        <w:tc>
          <w:tcPr>
            <w:tcW w:w="2990" w:type="pct"/>
            <w:tcBorders>
              <w:top w:val="nil"/>
              <w:left w:val="nil"/>
              <w:bottom w:val="nil"/>
              <w:right w:val="nil"/>
            </w:tcBorders>
          </w:tcPr>
          <w:p w14:paraId="04301A08" w14:textId="1F123C4A" w:rsidR="00E91D31" w:rsidRPr="004D4906" w:rsidRDefault="00A10603" w:rsidP="00D5675B">
            <w:pPr>
              <w:pStyle w:val="TableText"/>
              <w:rPr>
                <w:rFonts w:ascii="Arial" w:hAnsi="Arial" w:cs="Arial"/>
                <w:sz w:val="20"/>
                <w:szCs w:val="20"/>
              </w:rPr>
            </w:pPr>
            <w:r w:rsidRPr="004D4906">
              <w:rPr>
                <w:rFonts w:ascii="Arial" w:hAnsi="Arial" w:cs="Arial"/>
                <w:sz w:val="20"/>
                <w:szCs w:val="20"/>
              </w:rPr>
              <w:t>So long as [</w:t>
            </w:r>
            <w:r w:rsidR="009828DB" w:rsidRPr="004D4906">
              <w:rPr>
                <w:rFonts w:ascii="Arial" w:hAnsi="Arial" w:cs="Arial"/>
                <w:sz w:val="20"/>
                <w:szCs w:val="20"/>
              </w:rPr>
              <w:t>25</w:t>
            </w:r>
            <w:r w:rsidRPr="004D4906">
              <w:rPr>
                <w:rFonts w:ascii="Arial" w:hAnsi="Arial" w:cs="Arial"/>
                <w:sz w:val="20"/>
                <w:szCs w:val="20"/>
              </w:rPr>
              <w:t xml:space="preserve">%] of </w:t>
            </w:r>
            <w:r w:rsidR="001A7801" w:rsidRPr="004D4906">
              <w:rPr>
                <w:rFonts w:ascii="Arial" w:hAnsi="Arial" w:cs="Arial"/>
                <w:sz w:val="20"/>
                <w:szCs w:val="20"/>
              </w:rPr>
              <w:t>Series A Shares</w:t>
            </w:r>
            <w:r w:rsidR="00D5675B" w:rsidRPr="004D4906">
              <w:rPr>
                <w:rFonts w:ascii="Arial" w:hAnsi="Arial" w:cs="Arial"/>
                <w:sz w:val="20"/>
                <w:szCs w:val="20"/>
              </w:rPr>
              <w:t xml:space="preserve"> </w:t>
            </w:r>
            <w:r w:rsidRPr="004D4906">
              <w:rPr>
                <w:rFonts w:ascii="Arial" w:hAnsi="Arial" w:cs="Arial"/>
                <w:sz w:val="20"/>
                <w:szCs w:val="20"/>
              </w:rPr>
              <w:t xml:space="preserve">issued in the transaction </w:t>
            </w:r>
            <w:r w:rsidR="00C44739">
              <w:rPr>
                <w:rFonts w:ascii="Arial" w:hAnsi="Arial" w:cs="Arial"/>
                <w:sz w:val="20"/>
                <w:szCs w:val="20"/>
              </w:rPr>
              <w:t>remain issued</w:t>
            </w:r>
            <w:r w:rsidRPr="004D4906">
              <w:rPr>
                <w:rFonts w:ascii="Arial" w:hAnsi="Arial" w:cs="Arial"/>
                <w:sz w:val="20"/>
                <w:szCs w:val="20"/>
              </w:rPr>
              <w:t>, in addition to any other vote or approval required under the Company’s Memorandum of Incorporation, the Company will not</w:t>
            </w:r>
            <w:r w:rsidR="00D5675B" w:rsidRPr="004D4906">
              <w:rPr>
                <w:rFonts w:ascii="Arial" w:hAnsi="Arial" w:cs="Arial"/>
                <w:sz w:val="20"/>
                <w:szCs w:val="20"/>
              </w:rPr>
              <w:t xml:space="preserve"> engage in, agree to perform or undertake any action relating to any matter set-out in Part 1 of </w:t>
            </w:r>
            <w:r w:rsidR="00D5675B" w:rsidRPr="004D4906">
              <w:rPr>
                <w:rFonts w:ascii="Arial" w:hAnsi="Arial" w:cs="Arial"/>
                <w:b/>
                <w:bCs/>
                <w:sz w:val="20"/>
                <w:szCs w:val="20"/>
              </w:rPr>
              <w:t>Schedule E</w:t>
            </w:r>
            <w:r w:rsidRPr="004D4906">
              <w:rPr>
                <w:rFonts w:ascii="Arial" w:hAnsi="Arial" w:cs="Arial"/>
                <w:sz w:val="20"/>
                <w:szCs w:val="20"/>
              </w:rPr>
              <w:t>, without the written consent of the Investor Majority, either directly or by amendment, merger, consolidation, recapitalization, reclassification, or otherwise</w:t>
            </w:r>
            <w:r w:rsidR="00D5675B" w:rsidRPr="004D4906">
              <w:rPr>
                <w:rFonts w:ascii="Arial" w:hAnsi="Arial" w:cs="Arial"/>
                <w:sz w:val="20"/>
                <w:szCs w:val="20"/>
              </w:rPr>
              <w:t>.</w:t>
            </w:r>
          </w:p>
        </w:tc>
      </w:tr>
      <w:tr w:rsidR="00A10603" w:rsidRPr="004D4906" w14:paraId="563D3737" w14:textId="77777777" w:rsidTr="0002776F">
        <w:tc>
          <w:tcPr>
            <w:tcW w:w="2010" w:type="pct"/>
            <w:tcBorders>
              <w:top w:val="nil"/>
              <w:left w:val="nil"/>
              <w:bottom w:val="nil"/>
              <w:right w:val="nil"/>
            </w:tcBorders>
          </w:tcPr>
          <w:p w14:paraId="26B8A9FD" w14:textId="199FA559" w:rsidR="00A10603" w:rsidRPr="004D4906" w:rsidRDefault="00A10603" w:rsidP="00E91D31">
            <w:pPr>
              <w:pStyle w:val="TableItalics"/>
              <w:rPr>
                <w:rFonts w:ascii="Arial" w:hAnsi="Arial" w:cs="Arial"/>
                <w:sz w:val="20"/>
                <w:szCs w:val="20"/>
              </w:rPr>
            </w:pPr>
            <w:r w:rsidRPr="004D4906">
              <w:rPr>
                <w:rFonts w:ascii="Arial" w:hAnsi="Arial" w:cs="Arial"/>
                <w:sz w:val="20"/>
                <w:szCs w:val="20"/>
              </w:rPr>
              <w:t xml:space="preserve">Matters Requiring </w:t>
            </w:r>
            <w:r w:rsidR="00C44739">
              <w:rPr>
                <w:rFonts w:ascii="Arial" w:hAnsi="Arial" w:cs="Arial"/>
                <w:sz w:val="20"/>
                <w:szCs w:val="20"/>
              </w:rPr>
              <w:t>Preference</w:t>
            </w:r>
            <w:r w:rsidRPr="004D4906">
              <w:rPr>
                <w:rFonts w:ascii="Arial" w:hAnsi="Arial" w:cs="Arial"/>
                <w:sz w:val="20"/>
                <w:szCs w:val="20"/>
              </w:rPr>
              <w:t xml:space="preserve"> Director Approval</w:t>
            </w:r>
          </w:p>
        </w:tc>
        <w:tc>
          <w:tcPr>
            <w:tcW w:w="2990" w:type="pct"/>
            <w:tcBorders>
              <w:top w:val="nil"/>
              <w:left w:val="nil"/>
              <w:bottom w:val="nil"/>
              <w:right w:val="nil"/>
            </w:tcBorders>
          </w:tcPr>
          <w:p w14:paraId="155E1AF7" w14:textId="1C96FF3B" w:rsidR="00A10603" w:rsidRPr="004D4906" w:rsidRDefault="00A10603" w:rsidP="00D5675B">
            <w:pPr>
              <w:pStyle w:val="TableText"/>
              <w:rPr>
                <w:rFonts w:ascii="Arial" w:hAnsi="Arial" w:cs="Arial"/>
                <w:sz w:val="20"/>
                <w:szCs w:val="20"/>
              </w:rPr>
            </w:pPr>
            <w:r w:rsidRPr="004D4906">
              <w:rPr>
                <w:rFonts w:ascii="Arial" w:hAnsi="Arial" w:cs="Arial"/>
                <w:sz w:val="20"/>
                <w:szCs w:val="20"/>
              </w:rPr>
              <w:t xml:space="preserve">So long as the holders of </w:t>
            </w:r>
            <w:r w:rsidR="001A7801" w:rsidRPr="004D4906">
              <w:rPr>
                <w:rFonts w:ascii="Arial" w:hAnsi="Arial" w:cs="Arial"/>
                <w:sz w:val="20"/>
                <w:szCs w:val="20"/>
              </w:rPr>
              <w:t>Series A Shares</w:t>
            </w:r>
            <w:r w:rsidR="00F1153C" w:rsidRPr="004D4906">
              <w:rPr>
                <w:rFonts w:ascii="Arial" w:hAnsi="Arial" w:cs="Arial"/>
                <w:sz w:val="20"/>
                <w:szCs w:val="20"/>
              </w:rPr>
              <w:t xml:space="preserve"> </w:t>
            </w:r>
            <w:r w:rsidRPr="004D4906">
              <w:rPr>
                <w:rFonts w:ascii="Arial" w:hAnsi="Arial" w:cs="Arial"/>
                <w:sz w:val="20"/>
                <w:szCs w:val="20"/>
              </w:rPr>
              <w:t>are entitled to elect a Director, the Company will not</w:t>
            </w:r>
            <w:r w:rsidR="00D5675B" w:rsidRPr="004D4906">
              <w:rPr>
                <w:rFonts w:ascii="Arial" w:hAnsi="Arial" w:cs="Arial"/>
                <w:sz w:val="20"/>
                <w:szCs w:val="20"/>
              </w:rPr>
              <w:t xml:space="preserve"> engage in, agree to perform or undertake any action relating to any matter set-out in Part 2 of </w:t>
            </w:r>
            <w:r w:rsidR="00D5675B" w:rsidRPr="004D4906">
              <w:rPr>
                <w:rFonts w:ascii="Arial" w:hAnsi="Arial" w:cs="Arial"/>
                <w:b/>
                <w:bCs/>
                <w:sz w:val="20"/>
                <w:szCs w:val="20"/>
              </w:rPr>
              <w:t>Schedule E</w:t>
            </w:r>
            <w:r w:rsidRPr="004D4906">
              <w:rPr>
                <w:rFonts w:ascii="Arial" w:hAnsi="Arial" w:cs="Arial"/>
                <w:sz w:val="20"/>
                <w:szCs w:val="20"/>
              </w:rPr>
              <w:t>, without Board approval, which approval must include the affirmative vote of [at least one/each of]</w:t>
            </w:r>
            <w:r w:rsidR="00BB2710">
              <w:rPr>
                <w:rStyle w:val="FootnoteReference"/>
                <w:rFonts w:cs="Arial"/>
                <w:szCs w:val="20"/>
              </w:rPr>
              <w:footnoteReference w:id="18"/>
            </w:r>
            <w:r w:rsidRPr="004D4906">
              <w:rPr>
                <w:rFonts w:ascii="Arial" w:hAnsi="Arial" w:cs="Arial"/>
                <w:sz w:val="20"/>
                <w:szCs w:val="20"/>
              </w:rPr>
              <w:t xml:space="preserve"> the </w:t>
            </w:r>
            <w:r w:rsidR="00C44739">
              <w:rPr>
                <w:rFonts w:ascii="Arial" w:hAnsi="Arial" w:cs="Arial"/>
                <w:sz w:val="20"/>
                <w:szCs w:val="20"/>
              </w:rPr>
              <w:t>Preference</w:t>
            </w:r>
            <w:r w:rsidRPr="004D4906">
              <w:rPr>
                <w:rFonts w:ascii="Arial" w:hAnsi="Arial" w:cs="Arial"/>
                <w:sz w:val="20"/>
                <w:szCs w:val="20"/>
              </w:rPr>
              <w:t xml:space="preserve"> Directors</w:t>
            </w:r>
            <w:r w:rsidR="00D5675B" w:rsidRPr="004D4906">
              <w:rPr>
                <w:rFonts w:ascii="Arial" w:hAnsi="Arial" w:cs="Arial"/>
                <w:sz w:val="20"/>
                <w:szCs w:val="20"/>
              </w:rPr>
              <w:t>.</w:t>
            </w:r>
          </w:p>
        </w:tc>
      </w:tr>
      <w:tr w:rsidR="00DD2457" w:rsidRPr="004D4906" w14:paraId="195E4C58" w14:textId="42DC3554" w:rsidTr="001D1564">
        <w:tc>
          <w:tcPr>
            <w:tcW w:w="2010" w:type="pct"/>
            <w:tcBorders>
              <w:top w:val="nil"/>
              <w:left w:val="nil"/>
              <w:bottom w:val="nil"/>
              <w:right w:val="nil"/>
            </w:tcBorders>
          </w:tcPr>
          <w:p w14:paraId="288F64C6" w14:textId="624C969A" w:rsidR="00DD2457" w:rsidRPr="004D4906" w:rsidRDefault="00DD2457" w:rsidP="00FD57EE">
            <w:pPr>
              <w:pStyle w:val="TableItalics"/>
              <w:rPr>
                <w:rFonts w:ascii="Arial" w:hAnsi="Arial" w:cs="Arial"/>
                <w:b/>
                <w:bCs/>
                <w:sz w:val="20"/>
                <w:szCs w:val="20"/>
              </w:rPr>
            </w:pPr>
            <w:bookmarkStart w:id="43" w:name="Paytoplay"/>
            <w:bookmarkStart w:id="44" w:name="Redemption"/>
            <w:bookmarkEnd w:id="43"/>
            <w:bookmarkEnd w:id="44"/>
            <w:r w:rsidRPr="004D4906">
              <w:rPr>
                <w:rFonts w:ascii="Arial" w:hAnsi="Arial" w:cs="Arial"/>
                <w:sz w:val="20"/>
                <w:szCs w:val="20"/>
              </w:rPr>
              <w:lastRenderedPageBreak/>
              <w:br w:type="page"/>
            </w:r>
            <w:r w:rsidRPr="004D4906">
              <w:rPr>
                <w:rFonts w:ascii="Arial" w:hAnsi="Arial" w:cs="Arial"/>
                <w:sz w:val="20"/>
                <w:szCs w:val="20"/>
              </w:rPr>
              <w:br w:type="page"/>
            </w:r>
            <w:r w:rsidR="00B876D2" w:rsidRPr="004D4906">
              <w:rPr>
                <w:rFonts w:ascii="Arial" w:hAnsi="Arial" w:cs="Arial"/>
                <w:sz w:val="20"/>
                <w:szCs w:val="20"/>
              </w:rPr>
              <w:t>Redemption Rights:</w:t>
            </w:r>
            <w:r w:rsidRPr="004D4906">
              <w:rPr>
                <w:rFonts w:ascii="Arial" w:hAnsi="Arial" w:cs="Arial"/>
                <w:sz w:val="20"/>
                <w:szCs w:val="20"/>
              </w:rPr>
              <w:t xml:space="preserve"> </w:t>
            </w:r>
          </w:p>
        </w:tc>
        <w:tc>
          <w:tcPr>
            <w:tcW w:w="2990" w:type="pct"/>
            <w:tcBorders>
              <w:top w:val="nil"/>
              <w:left w:val="nil"/>
              <w:bottom w:val="nil"/>
              <w:right w:val="nil"/>
            </w:tcBorders>
          </w:tcPr>
          <w:p w14:paraId="2019D071" w14:textId="12D0B611" w:rsidR="00DD2457" w:rsidRPr="004D4906" w:rsidRDefault="00EE159A" w:rsidP="00FD57EE">
            <w:pPr>
              <w:pStyle w:val="TableText"/>
              <w:rPr>
                <w:rFonts w:ascii="Arial" w:hAnsi="Arial" w:cs="Arial"/>
                <w:b/>
                <w:bCs/>
                <w:sz w:val="20"/>
                <w:szCs w:val="20"/>
              </w:rPr>
            </w:pPr>
            <w:r w:rsidRPr="004D4906">
              <w:rPr>
                <w:rFonts w:ascii="Arial" w:hAnsi="Arial" w:cs="Arial"/>
                <w:sz w:val="20"/>
                <w:szCs w:val="20"/>
              </w:rPr>
              <w:t xml:space="preserve">The </w:t>
            </w:r>
            <w:r w:rsidR="001A7801" w:rsidRPr="004D4906">
              <w:rPr>
                <w:rFonts w:ascii="Arial" w:hAnsi="Arial" w:cs="Arial"/>
                <w:sz w:val="20"/>
                <w:szCs w:val="20"/>
              </w:rPr>
              <w:t>Series A Shares</w:t>
            </w:r>
            <w:r w:rsidRPr="004D4906">
              <w:rPr>
                <w:rFonts w:ascii="Arial" w:hAnsi="Arial" w:cs="Arial"/>
                <w:sz w:val="20"/>
                <w:szCs w:val="20"/>
              </w:rPr>
              <w:t xml:space="preserve"> shall not be redeemable. </w:t>
            </w:r>
          </w:p>
        </w:tc>
      </w:tr>
      <w:tr w:rsidR="00DD2457" w:rsidRPr="004D4906" w14:paraId="710972B9" w14:textId="77777777" w:rsidTr="00682930">
        <w:tc>
          <w:tcPr>
            <w:tcW w:w="5000" w:type="pct"/>
            <w:gridSpan w:val="2"/>
            <w:tcBorders>
              <w:top w:val="nil"/>
              <w:left w:val="nil"/>
              <w:bottom w:val="nil"/>
              <w:right w:val="nil"/>
            </w:tcBorders>
          </w:tcPr>
          <w:p w14:paraId="1AEC29BA" w14:textId="1DE0C597" w:rsidR="00DD2457" w:rsidRPr="004D4906" w:rsidRDefault="00DD2457" w:rsidP="000C50A0">
            <w:pPr>
              <w:pStyle w:val="TableTextBU"/>
              <w:rPr>
                <w:rFonts w:ascii="Arial" w:hAnsi="Arial" w:cs="Arial"/>
                <w:sz w:val="20"/>
                <w:szCs w:val="20"/>
              </w:rPr>
            </w:pPr>
            <w:bookmarkStart w:id="45" w:name="Counsel"/>
            <w:bookmarkEnd w:id="45"/>
            <w:r w:rsidRPr="004D4906">
              <w:rPr>
                <w:rFonts w:ascii="Arial" w:hAnsi="Arial" w:cs="Arial"/>
                <w:sz w:val="20"/>
                <w:szCs w:val="20"/>
              </w:rPr>
              <w:br w:type="page"/>
            </w:r>
            <w:r w:rsidR="00390BDA" w:rsidRPr="004D4906">
              <w:rPr>
                <w:rFonts w:ascii="Arial" w:hAnsi="Arial" w:cs="Arial"/>
                <w:sz w:val="20"/>
                <w:szCs w:val="20"/>
              </w:rPr>
              <w:t>SHAREHOLDERS</w:t>
            </w:r>
            <w:r w:rsidRPr="004D4906">
              <w:rPr>
                <w:rFonts w:ascii="Arial" w:hAnsi="Arial" w:cs="Arial"/>
                <w:sz w:val="20"/>
                <w:szCs w:val="20"/>
              </w:rPr>
              <w:t xml:space="preserve"> AGREEMENT</w:t>
            </w:r>
          </w:p>
        </w:tc>
      </w:tr>
      <w:tr w:rsidR="00DD2457" w:rsidRPr="004D4906" w14:paraId="7159AAE8" w14:textId="77777777" w:rsidTr="001D1564">
        <w:tc>
          <w:tcPr>
            <w:tcW w:w="2010" w:type="pct"/>
            <w:tcBorders>
              <w:top w:val="nil"/>
              <w:left w:val="nil"/>
              <w:bottom w:val="nil"/>
              <w:right w:val="nil"/>
            </w:tcBorders>
          </w:tcPr>
          <w:p w14:paraId="2FC85D4A" w14:textId="1AE7B64C" w:rsidR="00DD2457" w:rsidRPr="004D4906" w:rsidRDefault="00B876D2" w:rsidP="00FD57EE">
            <w:pPr>
              <w:pStyle w:val="TableItalics"/>
              <w:rPr>
                <w:rFonts w:ascii="Arial" w:hAnsi="Arial" w:cs="Arial"/>
                <w:sz w:val="20"/>
                <w:szCs w:val="20"/>
              </w:rPr>
            </w:pPr>
            <w:bookmarkStart w:id="46" w:name="Registration"/>
            <w:bookmarkStart w:id="47" w:name="Management"/>
            <w:bookmarkEnd w:id="46"/>
            <w:bookmarkEnd w:id="47"/>
            <w:r w:rsidRPr="004D4906">
              <w:rPr>
                <w:rFonts w:ascii="Arial" w:hAnsi="Arial" w:cs="Arial"/>
                <w:sz w:val="20"/>
                <w:szCs w:val="20"/>
              </w:rPr>
              <w:t>Management and Information Rights</w:t>
            </w:r>
            <w:r w:rsidR="00DD2457" w:rsidRPr="004D4906">
              <w:rPr>
                <w:rFonts w:ascii="Arial" w:hAnsi="Arial" w:cs="Arial"/>
                <w:sz w:val="20"/>
                <w:szCs w:val="20"/>
              </w:rPr>
              <w:t xml:space="preserve"> </w:t>
            </w:r>
          </w:p>
        </w:tc>
        <w:tc>
          <w:tcPr>
            <w:tcW w:w="2990" w:type="pct"/>
            <w:tcBorders>
              <w:top w:val="nil"/>
              <w:left w:val="nil"/>
              <w:bottom w:val="nil"/>
              <w:right w:val="nil"/>
            </w:tcBorders>
          </w:tcPr>
          <w:p w14:paraId="5044901E" w14:textId="17811337" w:rsidR="00DD2457" w:rsidRPr="004D4906" w:rsidRDefault="00DD2457" w:rsidP="00FD57EE">
            <w:pPr>
              <w:pStyle w:val="TableText"/>
              <w:rPr>
                <w:rFonts w:ascii="Arial" w:hAnsi="Arial" w:cs="Arial"/>
                <w:sz w:val="20"/>
                <w:szCs w:val="20"/>
              </w:rPr>
            </w:pPr>
            <w:r w:rsidRPr="004D4906">
              <w:rPr>
                <w:rFonts w:ascii="Arial" w:hAnsi="Arial" w:cs="Arial"/>
                <w:sz w:val="20"/>
                <w:szCs w:val="20"/>
              </w:rPr>
              <w:t xml:space="preserve">Any </w:t>
            </w:r>
            <w:r w:rsidR="00F4447A" w:rsidRPr="004D4906">
              <w:rPr>
                <w:rFonts w:ascii="Arial" w:hAnsi="Arial" w:cs="Arial"/>
                <w:sz w:val="20"/>
                <w:szCs w:val="20"/>
              </w:rPr>
              <w:t xml:space="preserve">holder of Series A Shares </w:t>
            </w:r>
            <w:r w:rsidRPr="004D4906">
              <w:rPr>
                <w:rFonts w:ascii="Arial" w:hAnsi="Arial" w:cs="Arial"/>
                <w:sz w:val="20"/>
                <w:szCs w:val="20"/>
              </w:rPr>
              <w:t xml:space="preserve"> will be granted access to Company facilities and personnel during normal business hours and with reasonable advance notification.  The Company will deliver to such </w:t>
            </w:r>
            <w:r w:rsidR="00F4447A" w:rsidRPr="004D4906">
              <w:rPr>
                <w:rFonts w:ascii="Arial" w:hAnsi="Arial" w:cs="Arial"/>
                <w:sz w:val="20"/>
                <w:szCs w:val="20"/>
              </w:rPr>
              <w:t xml:space="preserve">holder </w:t>
            </w:r>
            <w:r w:rsidRPr="004D4906">
              <w:rPr>
                <w:rFonts w:ascii="Arial" w:hAnsi="Arial" w:cs="Arial"/>
                <w:sz w:val="20"/>
                <w:szCs w:val="20"/>
              </w:rPr>
              <w:t xml:space="preserve">(i) annual, quarterly, [and monthly] financial statements, and other information as determined by the Board of Directors; [and] (ii) thirty days prior to the end of each fiscal year, a comprehensive operating budget forecasting the Company’s revenues, expenses, and cash position on a month-to-month basis for the upcoming fiscal year[; and (iii) promptly following the end of each quarter an up-to-date capitalization table]. </w:t>
            </w:r>
            <w:r w:rsidR="00D15BE7">
              <w:rPr>
                <w:rStyle w:val="FootnoteReference"/>
                <w:rFonts w:cs="Arial"/>
                <w:szCs w:val="20"/>
              </w:rPr>
              <w:footnoteReference w:id="19"/>
            </w:r>
          </w:p>
        </w:tc>
      </w:tr>
      <w:tr w:rsidR="00DD2457" w:rsidRPr="004D4906" w14:paraId="49FAE255" w14:textId="77777777" w:rsidTr="001D1564">
        <w:tc>
          <w:tcPr>
            <w:tcW w:w="2010" w:type="pct"/>
            <w:tcBorders>
              <w:top w:val="nil"/>
              <w:left w:val="nil"/>
              <w:bottom w:val="nil"/>
              <w:right w:val="nil"/>
            </w:tcBorders>
          </w:tcPr>
          <w:p w14:paraId="281D2395" w14:textId="1F7F9EE4" w:rsidR="00DD2457" w:rsidRPr="004D4906" w:rsidRDefault="00DD2457" w:rsidP="00FD57EE">
            <w:pPr>
              <w:pStyle w:val="TableItalics"/>
              <w:rPr>
                <w:rFonts w:ascii="Arial" w:hAnsi="Arial" w:cs="Arial"/>
                <w:sz w:val="20"/>
                <w:szCs w:val="20"/>
              </w:rPr>
            </w:pPr>
            <w:bookmarkStart w:id="48" w:name="Prorata"/>
            <w:bookmarkEnd w:id="48"/>
            <w:r w:rsidRPr="004D4906">
              <w:rPr>
                <w:rFonts w:ascii="Arial" w:hAnsi="Arial" w:cs="Arial"/>
                <w:sz w:val="20"/>
                <w:szCs w:val="20"/>
              </w:rPr>
              <w:t xml:space="preserve">Non-Competition: </w:t>
            </w:r>
          </w:p>
        </w:tc>
        <w:tc>
          <w:tcPr>
            <w:tcW w:w="2990" w:type="pct"/>
            <w:tcBorders>
              <w:top w:val="nil"/>
              <w:left w:val="nil"/>
              <w:bottom w:val="nil"/>
              <w:right w:val="nil"/>
            </w:tcBorders>
          </w:tcPr>
          <w:p w14:paraId="00EAC7AD" w14:textId="29CAD1F6" w:rsidR="00DD2457" w:rsidRPr="004D4906" w:rsidRDefault="00DD2457" w:rsidP="00FD57EE">
            <w:pPr>
              <w:pStyle w:val="TableText"/>
              <w:rPr>
                <w:rFonts w:ascii="Arial" w:hAnsi="Arial" w:cs="Arial"/>
                <w:sz w:val="20"/>
                <w:szCs w:val="20"/>
              </w:rPr>
            </w:pPr>
            <w:r w:rsidRPr="004D4906">
              <w:rPr>
                <w:rFonts w:ascii="Arial" w:hAnsi="Arial" w:cs="Arial"/>
                <w:sz w:val="20"/>
                <w:szCs w:val="20"/>
              </w:rPr>
              <w:t xml:space="preserve">Founders and key employee will </w:t>
            </w:r>
            <w:r w:rsidR="00D5675B" w:rsidRPr="004D4906">
              <w:rPr>
                <w:rFonts w:ascii="Arial" w:hAnsi="Arial" w:cs="Arial"/>
                <w:sz w:val="20"/>
                <w:szCs w:val="20"/>
              </w:rPr>
              <w:t>provide non-compete undertakings to the Company</w:t>
            </w:r>
            <w:r w:rsidRPr="004D4906">
              <w:rPr>
                <w:rFonts w:ascii="Arial" w:hAnsi="Arial" w:cs="Arial"/>
                <w:sz w:val="20"/>
                <w:szCs w:val="20"/>
              </w:rPr>
              <w:t xml:space="preserve"> </w:t>
            </w:r>
            <w:r w:rsidR="00D5675B" w:rsidRPr="004D4906">
              <w:rPr>
                <w:rFonts w:ascii="Arial" w:hAnsi="Arial" w:cs="Arial"/>
                <w:sz w:val="20"/>
                <w:szCs w:val="20"/>
              </w:rPr>
              <w:t xml:space="preserve">for a period of </w:t>
            </w:r>
            <w:r w:rsidRPr="004D4906">
              <w:rPr>
                <w:rFonts w:ascii="Arial" w:hAnsi="Arial" w:cs="Arial"/>
                <w:sz w:val="20"/>
                <w:szCs w:val="20"/>
              </w:rPr>
              <w:t xml:space="preserve">a [one] year </w:t>
            </w:r>
            <w:r w:rsidR="00D5675B" w:rsidRPr="004D4906">
              <w:rPr>
                <w:rFonts w:ascii="Arial" w:hAnsi="Arial" w:cs="Arial"/>
                <w:sz w:val="20"/>
                <w:szCs w:val="20"/>
              </w:rPr>
              <w:t>from Closing</w:t>
            </w:r>
            <w:r w:rsidR="008A7CBA" w:rsidRPr="004D4906">
              <w:rPr>
                <w:rFonts w:ascii="Arial" w:hAnsi="Arial" w:cs="Arial"/>
                <w:sz w:val="20"/>
                <w:szCs w:val="20"/>
              </w:rPr>
              <w:t>/termination of employment</w:t>
            </w:r>
            <w:r w:rsidRPr="004D4906">
              <w:rPr>
                <w:rFonts w:ascii="Arial" w:hAnsi="Arial" w:cs="Arial"/>
                <w:sz w:val="20"/>
                <w:szCs w:val="20"/>
              </w:rPr>
              <w:t>.</w:t>
            </w:r>
          </w:p>
        </w:tc>
      </w:tr>
      <w:tr w:rsidR="00DD2457" w:rsidRPr="004D4906" w14:paraId="1F47E01B" w14:textId="77777777" w:rsidTr="001D1564">
        <w:tc>
          <w:tcPr>
            <w:tcW w:w="2010" w:type="pct"/>
            <w:tcBorders>
              <w:top w:val="nil"/>
              <w:left w:val="nil"/>
              <w:bottom w:val="nil"/>
              <w:right w:val="nil"/>
            </w:tcBorders>
          </w:tcPr>
          <w:p w14:paraId="38C9B058" w14:textId="77777777" w:rsidR="00DD2457" w:rsidRPr="004D4906" w:rsidRDefault="00DD2457" w:rsidP="00FD57EE">
            <w:pPr>
              <w:pStyle w:val="TableItalics"/>
              <w:rPr>
                <w:rFonts w:ascii="Arial" w:hAnsi="Arial" w:cs="Arial"/>
                <w:sz w:val="20"/>
                <w:szCs w:val="20"/>
              </w:rPr>
            </w:pPr>
            <w:r w:rsidRPr="004D4906">
              <w:rPr>
                <w:rFonts w:ascii="Arial" w:hAnsi="Arial" w:cs="Arial"/>
                <w:sz w:val="20"/>
                <w:szCs w:val="20"/>
              </w:rPr>
              <w:t>Non-Disclosure, Non-Solicitation and Developments Agreement:</w:t>
            </w:r>
          </w:p>
        </w:tc>
        <w:tc>
          <w:tcPr>
            <w:tcW w:w="2990" w:type="pct"/>
            <w:tcBorders>
              <w:top w:val="nil"/>
              <w:left w:val="nil"/>
              <w:bottom w:val="nil"/>
              <w:right w:val="nil"/>
            </w:tcBorders>
          </w:tcPr>
          <w:p w14:paraId="2C7F00A1" w14:textId="64E58170" w:rsidR="00DD2457" w:rsidRPr="004D4906" w:rsidRDefault="00DD2457" w:rsidP="00FD57EE">
            <w:pPr>
              <w:pStyle w:val="TableText"/>
              <w:rPr>
                <w:rFonts w:ascii="Arial" w:hAnsi="Arial" w:cs="Arial"/>
                <w:sz w:val="20"/>
                <w:szCs w:val="20"/>
              </w:rPr>
            </w:pPr>
            <w:r w:rsidRPr="004D4906">
              <w:rPr>
                <w:rFonts w:ascii="Arial" w:hAnsi="Arial" w:cs="Arial"/>
                <w:sz w:val="20"/>
                <w:szCs w:val="20"/>
              </w:rPr>
              <w:t xml:space="preserve">Each current, future and former </w:t>
            </w:r>
            <w:r w:rsidR="00AC25D1" w:rsidRPr="004D4906">
              <w:rPr>
                <w:rFonts w:ascii="Arial" w:hAnsi="Arial" w:cs="Arial"/>
                <w:sz w:val="20"/>
                <w:szCs w:val="20"/>
              </w:rPr>
              <w:t>Founder</w:t>
            </w:r>
            <w:r w:rsidRPr="004D4906">
              <w:rPr>
                <w:rFonts w:ascii="Arial" w:hAnsi="Arial" w:cs="Arial"/>
                <w:sz w:val="20"/>
                <w:szCs w:val="20"/>
              </w:rPr>
              <w:t xml:space="preserve">, employee and consultant will enter into a non-disclosure, non-solicitation and proprietary rights assignment agreement in a form reasonably acceptable to the Investors.  </w:t>
            </w:r>
          </w:p>
        </w:tc>
      </w:tr>
      <w:tr w:rsidR="009E2B2E" w:rsidRPr="004D4906" w14:paraId="0A500D24" w14:textId="77777777" w:rsidTr="001D1564">
        <w:tc>
          <w:tcPr>
            <w:tcW w:w="2010" w:type="pct"/>
            <w:tcBorders>
              <w:top w:val="nil"/>
              <w:left w:val="nil"/>
              <w:bottom w:val="nil"/>
              <w:right w:val="nil"/>
            </w:tcBorders>
          </w:tcPr>
          <w:p w14:paraId="436E0C90" w14:textId="614EC395" w:rsidR="00BC7CED" w:rsidRPr="004D4906" w:rsidRDefault="00BC7CED" w:rsidP="00FD57EE">
            <w:pPr>
              <w:pStyle w:val="TableItalics"/>
              <w:rPr>
                <w:rFonts w:ascii="Arial" w:hAnsi="Arial" w:cs="Arial"/>
                <w:sz w:val="20"/>
                <w:szCs w:val="20"/>
              </w:rPr>
            </w:pPr>
            <w:r w:rsidRPr="004D4906">
              <w:rPr>
                <w:rFonts w:ascii="Arial" w:hAnsi="Arial" w:cs="Arial"/>
                <w:sz w:val="20"/>
                <w:szCs w:val="20"/>
              </w:rPr>
              <w:t>Pre-emptive right on Transfer</w:t>
            </w:r>
          </w:p>
        </w:tc>
        <w:tc>
          <w:tcPr>
            <w:tcW w:w="2990" w:type="pct"/>
            <w:tcBorders>
              <w:top w:val="nil"/>
              <w:left w:val="nil"/>
              <w:bottom w:val="nil"/>
              <w:right w:val="nil"/>
            </w:tcBorders>
          </w:tcPr>
          <w:p w14:paraId="6FE4C2E2" w14:textId="2813436D" w:rsidR="00BC7CED" w:rsidRPr="004D4906" w:rsidRDefault="0099489A" w:rsidP="00FD57EE">
            <w:pPr>
              <w:pStyle w:val="TableText"/>
              <w:rPr>
                <w:rFonts w:ascii="Arial" w:hAnsi="Arial" w:cs="Arial"/>
                <w:sz w:val="20"/>
                <w:szCs w:val="20"/>
              </w:rPr>
            </w:pPr>
            <w:r w:rsidRPr="004D4906">
              <w:rPr>
                <w:rFonts w:ascii="Arial" w:hAnsi="Arial" w:cs="Arial"/>
                <w:sz w:val="20"/>
                <w:szCs w:val="20"/>
              </w:rPr>
              <w:t xml:space="preserve">Company first and then all </w:t>
            </w:r>
            <w:r w:rsidR="008F73CD" w:rsidRPr="004D4906">
              <w:rPr>
                <w:rFonts w:ascii="Arial" w:hAnsi="Arial" w:cs="Arial"/>
                <w:sz w:val="20"/>
                <w:szCs w:val="20"/>
              </w:rPr>
              <w:t>Shareholders</w:t>
            </w:r>
            <w:r w:rsidR="00BC2DCD">
              <w:rPr>
                <w:rStyle w:val="FootnoteReference"/>
                <w:rFonts w:cs="Arial"/>
                <w:szCs w:val="20"/>
              </w:rPr>
              <w:footnoteReference w:id="20"/>
            </w:r>
            <w:r w:rsidR="008F73CD" w:rsidRPr="004D4906">
              <w:rPr>
                <w:rFonts w:ascii="Arial" w:hAnsi="Arial" w:cs="Arial"/>
                <w:sz w:val="20"/>
                <w:szCs w:val="20"/>
              </w:rPr>
              <w:t xml:space="preserve"> shall have a pro rata </w:t>
            </w:r>
            <w:r w:rsidR="008A7CBA" w:rsidRPr="004D4906">
              <w:rPr>
                <w:rFonts w:ascii="Arial" w:hAnsi="Arial" w:cs="Arial"/>
                <w:sz w:val="20"/>
                <w:szCs w:val="20"/>
              </w:rPr>
              <w:t xml:space="preserve">pre-emptive </w:t>
            </w:r>
            <w:r w:rsidR="008F73CD" w:rsidRPr="004D4906">
              <w:rPr>
                <w:rFonts w:ascii="Arial" w:hAnsi="Arial" w:cs="Arial"/>
                <w:sz w:val="20"/>
                <w:szCs w:val="20"/>
              </w:rPr>
              <w:t xml:space="preserve">right, </w:t>
            </w:r>
            <w:r w:rsidR="008A7CBA" w:rsidRPr="004D4906">
              <w:rPr>
                <w:rFonts w:ascii="Arial" w:hAnsi="Arial" w:cs="Arial"/>
                <w:sz w:val="20"/>
                <w:szCs w:val="20"/>
              </w:rPr>
              <w:t xml:space="preserve">to purchase any shares proposed to be sold by any other </w:t>
            </w:r>
            <w:commentRangeStart w:id="49"/>
            <w:r w:rsidR="008A7CBA" w:rsidRPr="004D4906">
              <w:rPr>
                <w:rFonts w:ascii="Arial" w:hAnsi="Arial" w:cs="Arial"/>
                <w:sz w:val="20"/>
                <w:szCs w:val="20"/>
              </w:rPr>
              <w:t>Shareholder</w:t>
            </w:r>
            <w:commentRangeEnd w:id="49"/>
            <w:r w:rsidR="008A7CBA" w:rsidRPr="004D4906">
              <w:rPr>
                <w:rStyle w:val="CommentReference"/>
                <w:rFonts w:ascii="Arial" w:hAnsi="Arial" w:cs="Arial"/>
                <w:sz w:val="20"/>
                <w:szCs w:val="20"/>
              </w:rPr>
              <w:commentReference w:id="49"/>
            </w:r>
            <w:r w:rsidR="008A7CBA" w:rsidRPr="004D4906">
              <w:rPr>
                <w:rFonts w:ascii="Arial" w:hAnsi="Arial" w:cs="Arial"/>
                <w:sz w:val="20"/>
                <w:szCs w:val="20"/>
              </w:rPr>
              <w:t xml:space="preserve">. This pre-emptive right will be </w:t>
            </w:r>
            <w:r w:rsidR="008F73CD" w:rsidRPr="004D4906">
              <w:rPr>
                <w:rFonts w:ascii="Arial" w:hAnsi="Arial" w:cs="Arial"/>
                <w:sz w:val="20"/>
                <w:szCs w:val="20"/>
              </w:rPr>
              <w:t xml:space="preserve">based on </w:t>
            </w:r>
            <w:r w:rsidR="008A7CBA" w:rsidRPr="004D4906">
              <w:rPr>
                <w:rFonts w:ascii="Arial" w:hAnsi="Arial" w:cs="Arial"/>
                <w:sz w:val="20"/>
                <w:szCs w:val="20"/>
              </w:rPr>
              <w:t xml:space="preserve">each remaining </w:t>
            </w:r>
            <w:r w:rsidR="004D4906" w:rsidRPr="004D4906">
              <w:rPr>
                <w:rFonts w:ascii="Arial" w:hAnsi="Arial" w:cs="Arial"/>
                <w:sz w:val="20"/>
                <w:szCs w:val="20"/>
              </w:rPr>
              <w:t xml:space="preserve">Shareholder’s </w:t>
            </w:r>
            <w:r w:rsidR="008F73CD" w:rsidRPr="004D4906">
              <w:rPr>
                <w:rFonts w:ascii="Arial" w:hAnsi="Arial" w:cs="Arial"/>
                <w:sz w:val="20"/>
                <w:szCs w:val="20"/>
              </w:rPr>
              <w:t xml:space="preserve">percentage equity ownership in the Company (on an As-Converted basis in the case of the </w:t>
            </w:r>
            <w:r w:rsidR="001A7801" w:rsidRPr="004D4906">
              <w:rPr>
                <w:rFonts w:ascii="Arial" w:hAnsi="Arial" w:cs="Arial"/>
                <w:sz w:val="20"/>
                <w:szCs w:val="20"/>
              </w:rPr>
              <w:t>Series A Shares</w:t>
            </w:r>
            <w:r w:rsidR="008F73CD" w:rsidRPr="004D4906">
              <w:rPr>
                <w:rFonts w:ascii="Arial" w:hAnsi="Arial" w:cs="Arial"/>
                <w:sz w:val="20"/>
                <w:szCs w:val="20"/>
              </w:rPr>
              <w:t>) .  In addition, should any Shareholder choose not to purchase its full pro rata share, the remaining Shareholders shall have the right to purchase the remaining</w:t>
            </w:r>
            <w:r w:rsidR="008A7CBA" w:rsidRPr="004D4906">
              <w:rPr>
                <w:rFonts w:ascii="Arial" w:hAnsi="Arial" w:cs="Arial"/>
                <w:sz w:val="20"/>
                <w:szCs w:val="20"/>
              </w:rPr>
              <w:t xml:space="preserve"> shares in proportion to all the Shareholders who elect to subscribe for such shares</w:t>
            </w:r>
            <w:r w:rsidR="008F73CD" w:rsidRPr="004D4906">
              <w:rPr>
                <w:rFonts w:ascii="Arial" w:hAnsi="Arial" w:cs="Arial"/>
                <w:sz w:val="20"/>
                <w:szCs w:val="20"/>
              </w:rPr>
              <w:t>.</w:t>
            </w:r>
          </w:p>
        </w:tc>
      </w:tr>
      <w:tr w:rsidR="009E2B2E" w:rsidRPr="004D4906" w14:paraId="79C2E7DA" w14:textId="77777777" w:rsidTr="001D1564">
        <w:tc>
          <w:tcPr>
            <w:tcW w:w="2010" w:type="pct"/>
            <w:tcBorders>
              <w:top w:val="nil"/>
              <w:left w:val="nil"/>
              <w:bottom w:val="nil"/>
              <w:right w:val="nil"/>
            </w:tcBorders>
          </w:tcPr>
          <w:p w14:paraId="74ECCF57" w14:textId="3F471098" w:rsidR="00BC7CED" w:rsidRPr="004D4906" w:rsidRDefault="00BC7CED" w:rsidP="00FD57EE">
            <w:pPr>
              <w:pStyle w:val="TableItalics"/>
              <w:rPr>
                <w:rFonts w:ascii="Arial" w:hAnsi="Arial" w:cs="Arial"/>
                <w:sz w:val="20"/>
                <w:szCs w:val="20"/>
              </w:rPr>
            </w:pPr>
            <w:r w:rsidRPr="004D4906">
              <w:rPr>
                <w:rFonts w:ascii="Arial" w:hAnsi="Arial" w:cs="Arial"/>
                <w:sz w:val="20"/>
                <w:szCs w:val="20"/>
              </w:rPr>
              <w:t>Drag Along</w:t>
            </w:r>
          </w:p>
        </w:tc>
        <w:tc>
          <w:tcPr>
            <w:tcW w:w="2990" w:type="pct"/>
            <w:tcBorders>
              <w:top w:val="nil"/>
              <w:left w:val="nil"/>
              <w:bottom w:val="nil"/>
              <w:right w:val="nil"/>
            </w:tcBorders>
          </w:tcPr>
          <w:p w14:paraId="79757AA6" w14:textId="06821B0D" w:rsidR="00BD7950" w:rsidRPr="004D4906" w:rsidRDefault="00BD7950" w:rsidP="00FD57EE">
            <w:pPr>
              <w:pStyle w:val="TableText"/>
              <w:rPr>
                <w:rFonts w:ascii="Arial" w:hAnsi="Arial" w:cs="Arial"/>
                <w:sz w:val="20"/>
                <w:szCs w:val="20"/>
              </w:rPr>
            </w:pPr>
            <w:r w:rsidRPr="004D4906">
              <w:rPr>
                <w:rFonts w:ascii="Arial" w:hAnsi="Arial" w:cs="Arial"/>
                <w:sz w:val="20"/>
                <w:szCs w:val="20"/>
              </w:rPr>
              <w:t xml:space="preserve">If the </w:t>
            </w:r>
            <w:r w:rsidR="00AC25D1" w:rsidRPr="004D4906">
              <w:rPr>
                <w:rFonts w:ascii="Arial" w:hAnsi="Arial" w:cs="Arial"/>
                <w:sz w:val="20"/>
                <w:szCs w:val="20"/>
              </w:rPr>
              <w:t xml:space="preserve">Board </w:t>
            </w:r>
            <w:r w:rsidR="003E53C9" w:rsidRPr="004D4906">
              <w:rPr>
                <w:rFonts w:ascii="Arial" w:hAnsi="Arial" w:cs="Arial"/>
                <w:sz w:val="20"/>
                <w:szCs w:val="20"/>
              </w:rPr>
              <w:t>[</w:t>
            </w:r>
            <w:r w:rsidR="00AC25D1" w:rsidRPr="004D4906">
              <w:rPr>
                <w:rFonts w:ascii="Arial" w:hAnsi="Arial" w:cs="Arial"/>
                <w:sz w:val="20"/>
                <w:szCs w:val="20"/>
              </w:rPr>
              <w:t>and</w:t>
            </w:r>
            <w:r w:rsidR="00351740" w:rsidRPr="004D4906">
              <w:rPr>
                <w:rFonts w:ascii="Arial" w:hAnsi="Arial" w:cs="Arial"/>
                <w:sz w:val="20"/>
                <w:szCs w:val="20"/>
              </w:rPr>
              <w:t xml:space="preserve"> the majority of Ordinary Shareholders</w:t>
            </w:r>
            <w:r w:rsidRPr="004D4906">
              <w:rPr>
                <w:rFonts w:ascii="Arial" w:hAnsi="Arial" w:cs="Arial"/>
                <w:sz w:val="20"/>
                <w:szCs w:val="20"/>
              </w:rPr>
              <w:t xml:space="preserve"> and the Investor Majority </w:t>
            </w:r>
            <w:r w:rsidR="00351740" w:rsidRPr="004D4906">
              <w:rPr>
                <w:rFonts w:ascii="Arial" w:hAnsi="Arial" w:cs="Arial"/>
                <w:sz w:val="20"/>
                <w:szCs w:val="20"/>
              </w:rPr>
              <w:t>all</w:t>
            </w:r>
            <w:r w:rsidR="003E53C9" w:rsidRPr="004D4906">
              <w:rPr>
                <w:rFonts w:ascii="Arial" w:hAnsi="Arial" w:cs="Arial"/>
                <w:sz w:val="20"/>
                <w:szCs w:val="20"/>
              </w:rPr>
              <w:t>]</w:t>
            </w:r>
            <w:r w:rsidR="00351740" w:rsidRPr="004D4906">
              <w:rPr>
                <w:rFonts w:ascii="Arial" w:hAnsi="Arial" w:cs="Arial"/>
                <w:sz w:val="20"/>
                <w:szCs w:val="20"/>
              </w:rPr>
              <w:t xml:space="preserve"> </w:t>
            </w:r>
            <w:r w:rsidRPr="004D4906">
              <w:rPr>
                <w:rFonts w:ascii="Arial" w:hAnsi="Arial" w:cs="Arial"/>
                <w:sz w:val="20"/>
                <w:szCs w:val="20"/>
              </w:rPr>
              <w:t xml:space="preserve">vote in favor of a Liquidity Event, or an acquisition transaction in which </w:t>
            </w:r>
            <w:r w:rsidR="006E4487">
              <w:rPr>
                <w:rFonts w:ascii="Arial" w:hAnsi="Arial" w:cs="Arial"/>
                <w:sz w:val="20"/>
                <w:szCs w:val="20"/>
              </w:rPr>
              <w:t>[</w:t>
            </w:r>
            <w:r w:rsidRPr="004D4906">
              <w:rPr>
                <w:rFonts w:ascii="Arial" w:hAnsi="Arial" w:cs="Arial"/>
                <w:sz w:val="20"/>
                <w:szCs w:val="20"/>
              </w:rPr>
              <w:t>more than 50%</w:t>
            </w:r>
            <w:r w:rsidR="006E4487">
              <w:rPr>
                <w:rFonts w:ascii="Arial" w:hAnsi="Arial" w:cs="Arial"/>
                <w:sz w:val="20"/>
                <w:szCs w:val="20"/>
              </w:rPr>
              <w:t>]</w:t>
            </w:r>
            <w:r w:rsidR="00D15BE7">
              <w:rPr>
                <w:rStyle w:val="FootnoteReference"/>
                <w:rFonts w:cs="Arial"/>
                <w:szCs w:val="20"/>
              </w:rPr>
              <w:footnoteReference w:id="21"/>
            </w:r>
            <w:r w:rsidRPr="004D4906">
              <w:rPr>
                <w:rFonts w:ascii="Arial" w:hAnsi="Arial" w:cs="Arial"/>
                <w:sz w:val="20"/>
                <w:szCs w:val="20"/>
              </w:rPr>
              <w:t xml:space="preserve"> of the voting power of the Company is acquired by a third party, then</w:t>
            </w:r>
            <w:r w:rsidR="00AF71E9" w:rsidRPr="004D4906">
              <w:rPr>
                <w:rFonts w:ascii="Arial" w:hAnsi="Arial" w:cs="Arial"/>
                <w:sz w:val="20"/>
                <w:szCs w:val="20"/>
              </w:rPr>
              <w:t xml:space="preserve"> all </w:t>
            </w:r>
            <w:r w:rsidR="004D4906">
              <w:rPr>
                <w:rFonts w:ascii="Arial" w:hAnsi="Arial" w:cs="Arial"/>
                <w:sz w:val="20"/>
                <w:szCs w:val="20"/>
              </w:rPr>
              <w:t>S</w:t>
            </w:r>
            <w:r w:rsidR="004D4906" w:rsidRPr="004D4906">
              <w:rPr>
                <w:rFonts w:ascii="Arial" w:hAnsi="Arial" w:cs="Arial"/>
                <w:sz w:val="20"/>
                <w:szCs w:val="20"/>
              </w:rPr>
              <w:t>hareholder</w:t>
            </w:r>
            <w:r w:rsidR="00AF71E9" w:rsidRPr="004D4906">
              <w:rPr>
                <w:rFonts w:ascii="Arial" w:hAnsi="Arial" w:cs="Arial"/>
                <w:sz w:val="20"/>
                <w:szCs w:val="20"/>
              </w:rPr>
              <w:t>s shall be required to</w:t>
            </w:r>
            <w:r w:rsidRPr="004D4906">
              <w:rPr>
                <w:rFonts w:ascii="Arial" w:hAnsi="Arial" w:cs="Arial"/>
                <w:sz w:val="20"/>
                <w:szCs w:val="20"/>
              </w:rPr>
              <w:t xml:space="preserve">: </w:t>
            </w:r>
          </w:p>
          <w:p w14:paraId="040DB962" w14:textId="045E16A7" w:rsidR="00BD7950" w:rsidRPr="004D4906" w:rsidRDefault="00BD7950" w:rsidP="004D4906">
            <w:pPr>
              <w:pStyle w:val="TableText"/>
              <w:numPr>
                <w:ilvl w:val="0"/>
                <w:numId w:val="48"/>
              </w:numPr>
              <w:tabs>
                <w:tab w:val="clear" w:pos="432"/>
                <w:tab w:val="left" w:pos="808"/>
              </w:tabs>
              <w:rPr>
                <w:rFonts w:ascii="Arial" w:hAnsi="Arial" w:cs="Arial"/>
                <w:sz w:val="20"/>
                <w:szCs w:val="20"/>
              </w:rPr>
            </w:pPr>
            <w:r w:rsidRPr="004D4906">
              <w:rPr>
                <w:rFonts w:ascii="Arial" w:hAnsi="Arial" w:cs="Arial"/>
                <w:sz w:val="20"/>
                <w:szCs w:val="20"/>
              </w:rPr>
              <w:t>vote in favor o</w:t>
            </w:r>
            <w:r w:rsidR="003E53C9" w:rsidRPr="004D4906">
              <w:rPr>
                <w:rFonts w:ascii="Arial" w:hAnsi="Arial" w:cs="Arial"/>
                <w:sz w:val="20"/>
                <w:szCs w:val="20"/>
              </w:rPr>
              <w:t>f</w:t>
            </w:r>
            <w:r w:rsidRPr="004D4906">
              <w:rPr>
                <w:rFonts w:ascii="Arial" w:hAnsi="Arial" w:cs="Arial"/>
                <w:sz w:val="20"/>
                <w:szCs w:val="20"/>
              </w:rPr>
              <w:t xml:space="preserve"> the transaction, and</w:t>
            </w:r>
          </w:p>
          <w:p w14:paraId="170599D6" w14:textId="401322C0" w:rsidR="00BD7950" w:rsidRPr="004D4906" w:rsidRDefault="00BD7950" w:rsidP="004D4906">
            <w:pPr>
              <w:pStyle w:val="TableText"/>
              <w:numPr>
                <w:ilvl w:val="0"/>
                <w:numId w:val="48"/>
              </w:numPr>
              <w:tabs>
                <w:tab w:val="clear" w:pos="432"/>
                <w:tab w:val="left" w:pos="808"/>
              </w:tabs>
              <w:rPr>
                <w:rFonts w:ascii="Arial" w:hAnsi="Arial" w:cs="Arial"/>
                <w:sz w:val="20"/>
                <w:szCs w:val="20"/>
                <w:lang w:val="en-GB"/>
              </w:rPr>
            </w:pPr>
            <w:r w:rsidRPr="004D4906">
              <w:rPr>
                <w:rFonts w:ascii="Arial" w:hAnsi="Arial" w:cs="Arial"/>
                <w:sz w:val="20"/>
                <w:szCs w:val="20"/>
              </w:rPr>
              <w:lastRenderedPageBreak/>
              <w:t xml:space="preserve"> </w:t>
            </w:r>
            <w:r w:rsidRPr="004D4906">
              <w:rPr>
                <w:rFonts w:ascii="Arial" w:hAnsi="Arial" w:cs="Arial"/>
                <w:sz w:val="20"/>
                <w:szCs w:val="20"/>
                <w:lang w:val="en-GB"/>
              </w:rPr>
              <w:t xml:space="preserve">(if applicable) sell their shares on the same terms </w:t>
            </w:r>
          </w:p>
          <w:p w14:paraId="60698902" w14:textId="77777777" w:rsidR="00AF4282" w:rsidRPr="004D4906" w:rsidRDefault="00BD7950" w:rsidP="003E53C9">
            <w:pPr>
              <w:pStyle w:val="TableText"/>
              <w:rPr>
                <w:rFonts w:ascii="Arial" w:hAnsi="Arial" w:cs="Arial"/>
                <w:sz w:val="20"/>
                <w:szCs w:val="20"/>
                <w:lang w:val="en-GB"/>
              </w:rPr>
            </w:pPr>
            <w:r w:rsidRPr="004D4906">
              <w:rPr>
                <w:rFonts w:ascii="Arial" w:hAnsi="Arial" w:cs="Arial"/>
                <w:sz w:val="20"/>
                <w:szCs w:val="20"/>
                <w:lang w:val="en-GB"/>
              </w:rPr>
              <w:t>and such transaction will amount to a Liquidity Event</w:t>
            </w:r>
            <w:r w:rsidR="00AF4282" w:rsidRPr="004D4906">
              <w:rPr>
                <w:rFonts w:ascii="Arial" w:hAnsi="Arial" w:cs="Arial"/>
                <w:sz w:val="20"/>
                <w:szCs w:val="20"/>
                <w:lang w:val="en-GB"/>
              </w:rPr>
              <w:t xml:space="preserve">. </w:t>
            </w:r>
          </w:p>
          <w:p w14:paraId="3D86EDA4" w14:textId="2D320062" w:rsidR="00BD7950" w:rsidRPr="004D4906" w:rsidRDefault="00AF4282" w:rsidP="003E53C9">
            <w:pPr>
              <w:pStyle w:val="TableText"/>
              <w:rPr>
                <w:rFonts w:ascii="Arial" w:hAnsi="Arial" w:cs="Arial"/>
                <w:sz w:val="20"/>
                <w:szCs w:val="20"/>
                <w:lang w:val="en-GB"/>
              </w:rPr>
            </w:pPr>
            <w:r w:rsidRPr="004D4906">
              <w:rPr>
                <w:rFonts w:ascii="Arial" w:hAnsi="Arial" w:cs="Arial"/>
                <w:sz w:val="20"/>
                <w:szCs w:val="20"/>
                <w:lang w:val="en-GB"/>
              </w:rPr>
              <w:t>However, the Drag Along will only apply</w:t>
            </w:r>
            <w:r w:rsidR="003E53C9" w:rsidRPr="004D4906">
              <w:rPr>
                <w:rFonts w:ascii="Arial" w:hAnsi="Arial" w:cs="Arial"/>
                <w:sz w:val="20"/>
                <w:szCs w:val="20"/>
                <w:lang w:val="en-GB"/>
              </w:rPr>
              <w:t xml:space="preserve"> if:</w:t>
            </w:r>
            <w:r w:rsidR="00BD7950" w:rsidRPr="004D4906">
              <w:rPr>
                <w:rFonts w:ascii="Arial" w:hAnsi="Arial" w:cs="Arial"/>
                <w:sz w:val="20"/>
                <w:szCs w:val="20"/>
                <w:lang w:val="en-GB"/>
              </w:rPr>
              <w:t xml:space="preserve"> </w:t>
            </w:r>
          </w:p>
          <w:p w14:paraId="367DE581" w14:textId="69C1D06E" w:rsidR="00BD7950" w:rsidRPr="004D4906" w:rsidRDefault="00BD7950" w:rsidP="004D4906">
            <w:pPr>
              <w:pStyle w:val="TableText"/>
              <w:numPr>
                <w:ilvl w:val="0"/>
                <w:numId w:val="48"/>
              </w:numPr>
              <w:tabs>
                <w:tab w:val="clear" w:pos="432"/>
                <w:tab w:val="left" w:pos="808"/>
              </w:tabs>
              <w:rPr>
                <w:rFonts w:ascii="Arial" w:hAnsi="Arial" w:cs="Arial"/>
                <w:sz w:val="20"/>
                <w:szCs w:val="20"/>
              </w:rPr>
            </w:pPr>
            <w:r w:rsidRPr="004D4906">
              <w:rPr>
                <w:rFonts w:ascii="Arial" w:hAnsi="Arial" w:cs="Arial"/>
                <w:sz w:val="20"/>
                <w:szCs w:val="20"/>
              </w:rPr>
              <w:t xml:space="preserve">the warranty and indemnity liability of each </w:t>
            </w:r>
            <w:r w:rsidR="004D4906" w:rsidRPr="004D4906">
              <w:rPr>
                <w:rFonts w:ascii="Arial" w:hAnsi="Arial" w:cs="Arial"/>
                <w:sz w:val="20"/>
                <w:szCs w:val="20"/>
              </w:rPr>
              <w:t>Shareholder</w:t>
            </w:r>
            <w:r w:rsidRPr="004D4906">
              <w:rPr>
                <w:rFonts w:ascii="Arial" w:hAnsi="Arial" w:cs="Arial"/>
                <w:sz w:val="20"/>
                <w:szCs w:val="20"/>
              </w:rPr>
              <w:t xml:space="preserve"> in such transaction </w:t>
            </w:r>
            <w:r w:rsidR="003E53C9" w:rsidRPr="004D4906">
              <w:rPr>
                <w:rFonts w:ascii="Arial" w:hAnsi="Arial" w:cs="Arial"/>
                <w:sz w:val="20"/>
                <w:szCs w:val="20"/>
              </w:rPr>
              <w:t xml:space="preserve">is </w:t>
            </w:r>
            <w:r w:rsidRPr="004D4906">
              <w:rPr>
                <w:rFonts w:ascii="Arial" w:hAnsi="Arial" w:cs="Arial"/>
                <w:sz w:val="20"/>
                <w:szCs w:val="20"/>
              </w:rPr>
              <w:t xml:space="preserve">several (and not joint) and does not exceed the </w:t>
            </w:r>
            <w:r w:rsidR="004D4906">
              <w:rPr>
                <w:rFonts w:ascii="Arial" w:hAnsi="Arial" w:cs="Arial"/>
                <w:sz w:val="20"/>
                <w:szCs w:val="20"/>
              </w:rPr>
              <w:t>Shareholder</w:t>
            </w:r>
            <w:r w:rsidRPr="004D4906">
              <w:rPr>
                <w:rFonts w:ascii="Arial" w:hAnsi="Arial" w:cs="Arial"/>
                <w:sz w:val="20"/>
                <w:szCs w:val="20"/>
              </w:rPr>
              <w:t xml:space="preserve">’s pro rata portion of any claim; and </w:t>
            </w:r>
          </w:p>
          <w:p w14:paraId="3BDB37DD" w14:textId="245ADF87" w:rsidR="00BC7CED" w:rsidRPr="004D4906" w:rsidRDefault="00BD7950" w:rsidP="004D4906">
            <w:pPr>
              <w:pStyle w:val="TableText"/>
              <w:numPr>
                <w:ilvl w:val="0"/>
                <w:numId w:val="48"/>
              </w:numPr>
              <w:tabs>
                <w:tab w:val="clear" w:pos="432"/>
                <w:tab w:val="left" w:pos="808"/>
              </w:tabs>
              <w:rPr>
                <w:rFonts w:ascii="Arial" w:hAnsi="Arial" w:cs="Arial"/>
                <w:sz w:val="20"/>
                <w:szCs w:val="20"/>
              </w:rPr>
            </w:pPr>
            <w:r w:rsidRPr="004D4906">
              <w:rPr>
                <w:rFonts w:ascii="Arial" w:hAnsi="Arial" w:cs="Arial"/>
                <w:sz w:val="20"/>
                <w:szCs w:val="20"/>
              </w:rPr>
              <w:t xml:space="preserve">the consideration to be paid to the </w:t>
            </w:r>
            <w:r w:rsidR="004D4906">
              <w:rPr>
                <w:rFonts w:ascii="Arial" w:hAnsi="Arial" w:cs="Arial"/>
                <w:sz w:val="20"/>
                <w:szCs w:val="20"/>
              </w:rPr>
              <w:t>Shareholder</w:t>
            </w:r>
            <w:r w:rsidRPr="004D4906">
              <w:rPr>
                <w:rFonts w:ascii="Arial" w:hAnsi="Arial" w:cs="Arial"/>
                <w:sz w:val="20"/>
                <w:szCs w:val="20"/>
              </w:rPr>
              <w:t xml:space="preserve">s in such transaction </w:t>
            </w:r>
            <w:r w:rsidR="003E53C9" w:rsidRPr="004D4906">
              <w:rPr>
                <w:rFonts w:ascii="Arial" w:hAnsi="Arial" w:cs="Arial"/>
                <w:sz w:val="20"/>
                <w:szCs w:val="20"/>
              </w:rPr>
              <w:t>is</w:t>
            </w:r>
            <w:r w:rsidR="00351740" w:rsidRPr="004D4906">
              <w:rPr>
                <w:rFonts w:ascii="Arial" w:hAnsi="Arial" w:cs="Arial"/>
                <w:sz w:val="20"/>
                <w:szCs w:val="20"/>
              </w:rPr>
              <w:t xml:space="preserve"> </w:t>
            </w:r>
            <w:r w:rsidRPr="004D4906">
              <w:rPr>
                <w:rFonts w:ascii="Arial" w:hAnsi="Arial" w:cs="Arial"/>
                <w:sz w:val="20"/>
                <w:szCs w:val="20"/>
              </w:rPr>
              <w:t xml:space="preserve">allocated consistently with the </w:t>
            </w:r>
            <w:r w:rsidR="00467B0E" w:rsidRPr="004D4906">
              <w:rPr>
                <w:rFonts w:ascii="Arial" w:hAnsi="Arial" w:cs="Arial"/>
                <w:sz w:val="20"/>
                <w:szCs w:val="20"/>
              </w:rPr>
              <w:t>Liquidity Preference</w:t>
            </w:r>
            <w:r w:rsidRPr="004D4906">
              <w:rPr>
                <w:rFonts w:ascii="Arial" w:hAnsi="Arial" w:cs="Arial"/>
                <w:sz w:val="20"/>
                <w:szCs w:val="20"/>
              </w:rPr>
              <w:t>s</w:t>
            </w:r>
            <w:r w:rsidR="00351740" w:rsidRPr="004D4906">
              <w:rPr>
                <w:rFonts w:ascii="Arial" w:hAnsi="Arial" w:cs="Arial"/>
                <w:sz w:val="20"/>
                <w:szCs w:val="20"/>
              </w:rPr>
              <w:t xml:space="preserve">. </w:t>
            </w:r>
          </w:p>
        </w:tc>
      </w:tr>
      <w:tr w:rsidR="009E2B2E" w:rsidRPr="004D4906" w14:paraId="67D1FD1D" w14:textId="77777777" w:rsidTr="004D4906">
        <w:trPr>
          <w:trHeight w:val="1077"/>
        </w:trPr>
        <w:tc>
          <w:tcPr>
            <w:tcW w:w="2010" w:type="pct"/>
            <w:tcBorders>
              <w:top w:val="nil"/>
              <w:left w:val="nil"/>
              <w:bottom w:val="nil"/>
              <w:right w:val="nil"/>
            </w:tcBorders>
          </w:tcPr>
          <w:p w14:paraId="345AFAD8" w14:textId="6699BE5D" w:rsidR="00BC7CED" w:rsidRPr="004D4906" w:rsidRDefault="00BC7CED" w:rsidP="00FD57EE">
            <w:pPr>
              <w:pStyle w:val="TableItalics"/>
              <w:rPr>
                <w:rFonts w:ascii="Arial" w:hAnsi="Arial" w:cs="Arial"/>
                <w:sz w:val="20"/>
                <w:szCs w:val="20"/>
              </w:rPr>
            </w:pPr>
            <w:commentRangeStart w:id="50"/>
            <w:r w:rsidRPr="004D4906">
              <w:rPr>
                <w:rFonts w:ascii="Arial" w:hAnsi="Arial" w:cs="Arial"/>
                <w:sz w:val="20"/>
                <w:szCs w:val="20"/>
              </w:rPr>
              <w:lastRenderedPageBreak/>
              <w:t>Tag Along</w:t>
            </w:r>
            <w:commentRangeEnd w:id="50"/>
            <w:r w:rsidR="00AF71E9" w:rsidRPr="004D4906">
              <w:rPr>
                <w:rStyle w:val="CommentReference"/>
                <w:rFonts w:ascii="Arial" w:hAnsi="Arial" w:cs="Arial"/>
                <w:sz w:val="20"/>
                <w:szCs w:val="20"/>
              </w:rPr>
              <w:commentReference w:id="50"/>
            </w:r>
          </w:p>
        </w:tc>
        <w:tc>
          <w:tcPr>
            <w:tcW w:w="2990" w:type="pct"/>
            <w:tcBorders>
              <w:top w:val="nil"/>
              <w:left w:val="nil"/>
              <w:bottom w:val="nil"/>
              <w:right w:val="nil"/>
            </w:tcBorders>
          </w:tcPr>
          <w:p w14:paraId="21560A3C" w14:textId="4D81605D" w:rsidR="00BC7CED" w:rsidRPr="004D4906" w:rsidRDefault="008F73CD" w:rsidP="004D4906">
            <w:pPr>
              <w:pStyle w:val="TableText"/>
              <w:rPr>
                <w:rFonts w:ascii="Arial" w:hAnsi="Arial" w:cs="Arial"/>
                <w:sz w:val="20"/>
                <w:szCs w:val="20"/>
              </w:rPr>
            </w:pPr>
            <w:r w:rsidRPr="004D4906">
              <w:rPr>
                <w:rFonts w:ascii="Arial" w:hAnsi="Arial" w:cs="Arial"/>
                <w:sz w:val="20"/>
                <w:szCs w:val="20"/>
              </w:rPr>
              <w:t>If a third party offers to buy [25%]</w:t>
            </w:r>
            <w:r w:rsidR="006E4487">
              <w:rPr>
                <w:rStyle w:val="FootnoteReference"/>
                <w:rFonts w:cs="Arial"/>
                <w:szCs w:val="20"/>
              </w:rPr>
              <w:footnoteReference w:id="22"/>
            </w:r>
            <w:r w:rsidRPr="004D4906">
              <w:rPr>
                <w:rFonts w:ascii="Arial" w:hAnsi="Arial" w:cs="Arial"/>
                <w:sz w:val="20"/>
                <w:szCs w:val="20"/>
              </w:rPr>
              <w:t xml:space="preserve"> or more of the </w:t>
            </w:r>
            <w:r w:rsidR="003E53C9" w:rsidRPr="004D4906">
              <w:rPr>
                <w:rFonts w:ascii="Arial" w:hAnsi="Arial" w:cs="Arial"/>
                <w:sz w:val="20"/>
                <w:szCs w:val="20"/>
              </w:rPr>
              <w:t xml:space="preserve">Shares </w:t>
            </w:r>
            <w:r w:rsidRPr="004D4906">
              <w:rPr>
                <w:rFonts w:ascii="Arial" w:hAnsi="Arial" w:cs="Arial"/>
                <w:sz w:val="20"/>
                <w:szCs w:val="20"/>
              </w:rPr>
              <w:t>from any</w:t>
            </w:r>
            <w:r w:rsidR="006E1E2C" w:rsidRPr="004D4906">
              <w:rPr>
                <w:rFonts w:ascii="Arial" w:hAnsi="Arial" w:cs="Arial"/>
                <w:sz w:val="20"/>
                <w:szCs w:val="20"/>
              </w:rPr>
              <w:t xml:space="preserve"> one or more</w:t>
            </w:r>
            <w:r w:rsidRPr="004D4906">
              <w:rPr>
                <w:rFonts w:ascii="Arial" w:hAnsi="Arial" w:cs="Arial"/>
                <w:sz w:val="20"/>
                <w:szCs w:val="20"/>
              </w:rPr>
              <w:t xml:space="preserve"> </w:t>
            </w:r>
            <w:r w:rsidR="004D4906">
              <w:rPr>
                <w:rFonts w:ascii="Arial" w:hAnsi="Arial" w:cs="Arial"/>
                <w:sz w:val="20"/>
                <w:szCs w:val="20"/>
              </w:rPr>
              <w:t>Shareholder</w:t>
            </w:r>
            <w:r w:rsidR="006E1E2C" w:rsidRPr="004D4906">
              <w:rPr>
                <w:rFonts w:ascii="Arial" w:hAnsi="Arial" w:cs="Arial"/>
                <w:sz w:val="20"/>
                <w:szCs w:val="20"/>
              </w:rPr>
              <w:t>s</w:t>
            </w:r>
            <w:r w:rsidRPr="004D4906">
              <w:rPr>
                <w:rFonts w:ascii="Arial" w:hAnsi="Arial" w:cs="Arial"/>
                <w:sz w:val="20"/>
                <w:szCs w:val="20"/>
              </w:rPr>
              <w:t xml:space="preserve">, then any other </w:t>
            </w:r>
            <w:r w:rsidR="004D4906">
              <w:rPr>
                <w:rFonts w:ascii="Arial" w:hAnsi="Arial" w:cs="Arial"/>
                <w:sz w:val="20"/>
                <w:szCs w:val="20"/>
              </w:rPr>
              <w:t>Shareholder</w:t>
            </w:r>
            <w:r w:rsidRPr="004D4906">
              <w:rPr>
                <w:rFonts w:ascii="Arial" w:hAnsi="Arial" w:cs="Arial"/>
                <w:sz w:val="20"/>
                <w:szCs w:val="20"/>
              </w:rPr>
              <w:t xml:space="preserve"> can </w:t>
            </w:r>
            <w:r w:rsidR="006E1E2C" w:rsidRPr="004D4906">
              <w:rPr>
                <w:rFonts w:ascii="Arial" w:hAnsi="Arial" w:cs="Arial"/>
                <w:sz w:val="20"/>
                <w:szCs w:val="20"/>
              </w:rPr>
              <w:t xml:space="preserve">require </w:t>
            </w:r>
            <w:r w:rsidRPr="004D4906">
              <w:rPr>
                <w:rFonts w:ascii="Arial" w:hAnsi="Arial" w:cs="Arial"/>
                <w:sz w:val="20"/>
                <w:szCs w:val="20"/>
              </w:rPr>
              <w:t xml:space="preserve">that third party to buy their shares </w:t>
            </w:r>
            <w:r w:rsidR="006E1E2C" w:rsidRPr="004D4906">
              <w:rPr>
                <w:rFonts w:ascii="Arial" w:hAnsi="Arial" w:cs="Arial"/>
                <w:sz w:val="20"/>
                <w:szCs w:val="20"/>
              </w:rPr>
              <w:t>also</w:t>
            </w:r>
            <w:r w:rsidR="006C0960">
              <w:rPr>
                <w:rFonts w:ascii="Arial" w:hAnsi="Arial" w:cs="Arial"/>
                <w:sz w:val="20"/>
                <w:szCs w:val="20"/>
              </w:rPr>
              <w:t>, on the same price and terms</w:t>
            </w:r>
            <w:r w:rsidRPr="004D4906">
              <w:rPr>
                <w:rFonts w:ascii="Arial" w:hAnsi="Arial" w:cs="Arial"/>
                <w:sz w:val="20"/>
                <w:szCs w:val="20"/>
              </w:rPr>
              <w:t>.</w:t>
            </w:r>
          </w:p>
        </w:tc>
      </w:tr>
      <w:tr w:rsidR="002D763E" w:rsidRPr="004D4906" w14:paraId="2935B2D4" w14:textId="77777777" w:rsidTr="001D1564">
        <w:tc>
          <w:tcPr>
            <w:tcW w:w="2010" w:type="pct"/>
            <w:tcBorders>
              <w:top w:val="nil"/>
              <w:left w:val="nil"/>
              <w:bottom w:val="nil"/>
              <w:right w:val="nil"/>
            </w:tcBorders>
          </w:tcPr>
          <w:p w14:paraId="2F21C5DB" w14:textId="6E8482C6" w:rsidR="002D763E" w:rsidRPr="004D4906" w:rsidRDefault="002D763E" w:rsidP="002D763E">
            <w:pPr>
              <w:pStyle w:val="TableItalics"/>
              <w:rPr>
                <w:rFonts w:ascii="Arial" w:hAnsi="Arial" w:cs="Arial"/>
                <w:sz w:val="20"/>
                <w:szCs w:val="20"/>
              </w:rPr>
            </w:pPr>
            <w:bookmarkStart w:id="51" w:name="Board"/>
            <w:bookmarkStart w:id="52" w:name="Drag_Along"/>
            <w:bookmarkEnd w:id="51"/>
            <w:bookmarkEnd w:id="52"/>
            <w:commentRangeStart w:id="53"/>
            <w:r w:rsidRPr="004D4906">
              <w:rPr>
                <w:rFonts w:ascii="Arial" w:hAnsi="Arial" w:cs="Arial"/>
                <w:sz w:val="20"/>
                <w:szCs w:val="20"/>
              </w:rPr>
              <w:t>[</w:t>
            </w:r>
            <w:r w:rsidRPr="004D4906">
              <w:rPr>
                <w:rFonts w:ascii="Arial" w:hAnsi="Arial" w:cs="Arial"/>
                <w:sz w:val="20"/>
                <w:szCs w:val="20"/>
              </w:rPr>
              <w:br w:type="page"/>
            </w:r>
            <w:r w:rsidRPr="004D4906">
              <w:rPr>
                <w:rFonts w:ascii="Arial" w:hAnsi="Arial" w:cs="Arial"/>
                <w:sz w:val="20"/>
                <w:szCs w:val="20"/>
              </w:rPr>
              <w:br w:type="page"/>
            </w:r>
            <w:r w:rsidRPr="004D4906">
              <w:rPr>
                <w:rFonts w:ascii="Arial" w:hAnsi="Arial" w:cs="Arial"/>
                <w:sz w:val="20"/>
                <w:szCs w:val="20"/>
              </w:rPr>
              <w:br w:type="page"/>
              <w:t>Founders’ Shares</w:t>
            </w:r>
            <w:commentRangeEnd w:id="53"/>
            <w:r w:rsidRPr="004D4906">
              <w:rPr>
                <w:rStyle w:val="CommentReference"/>
                <w:rFonts w:ascii="Arial" w:hAnsi="Arial" w:cs="Arial"/>
                <w:sz w:val="20"/>
                <w:szCs w:val="20"/>
              </w:rPr>
              <w:commentReference w:id="53"/>
            </w:r>
            <w:r w:rsidRPr="004D4906">
              <w:rPr>
                <w:rFonts w:ascii="Arial" w:hAnsi="Arial" w:cs="Arial"/>
                <w:sz w:val="20"/>
                <w:szCs w:val="20"/>
              </w:rPr>
              <w:t>:</w:t>
            </w:r>
            <w:r w:rsidRPr="004D4906">
              <w:rPr>
                <w:rFonts w:ascii="Arial" w:hAnsi="Arial" w:cs="Arial"/>
                <w:sz w:val="20"/>
                <w:szCs w:val="20"/>
              </w:rPr>
              <w:br/>
            </w:r>
          </w:p>
        </w:tc>
        <w:tc>
          <w:tcPr>
            <w:tcW w:w="2990" w:type="pct"/>
            <w:tcBorders>
              <w:top w:val="nil"/>
              <w:left w:val="nil"/>
              <w:bottom w:val="nil"/>
              <w:right w:val="nil"/>
            </w:tcBorders>
          </w:tcPr>
          <w:p w14:paraId="3DB022D9" w14:textId="7A2C6EAE" w:rsidR="002D763E" w:rsidRPr="004D4906" w:rsidRDefault="006E1E2C" w:rsidP="002D763E">
            <w:pPr>
              <w:pStyle w:val="TableText"/>
              <w:rPr>
                <w:rFonts w:ascii="Arial" w:hAnsi="Arial" w:cs="Arial"/>
                <w:sz w:val="20"/>
                <w:szCs w:val="20"/>
              </w:rPr>
            </w:pPr>
            <w:r w:rsidRPr="004D4906">
              <w:rPr>
                <w:rFonts w:ascii="Arial" w:hAnsi="Arial" w:cs="Arial"/>
                <w:sz w:val="20"/>
                <w:szCs w:val="20"/>
              </w:rPr>
              <w:t xml:space="preserve">The Company will have the right to </w:t>
            </w:r>
            <w:r w:rsidR="00207535">
              <w:rPr>
                <w:rFonts w:ascii="Arial" w:hAnsi="Arial" w:cs="Arial"/>
                <w:sz w:val="20"/>
                <w:szCs w:val="20"/>
              </w:rPr>
              <w:t>b</w:t>
            </w:r>
            <w:r w:rsidR="002D763E" w:rsidRPr="004D4906">
              <w:rPr>
                <w:rFonts w:ascii="Arial" w:hAnsi="Arial" w:cs="Arial"/>
                <w:sz w:val="20"/>
                <w:szCs w:val="20"/>
              </w:rPr>
              <w:t>uy</w:t>
            </w:r>
            <w:r w:rsidR="00207535">
              <w:rPr>
                <w:rFonts w:ascii="Arial" w:hAnsi="Arial" w:cs="Arial"/>
                <w:sz w:val="20"/>
                <w:szCs w:val="20"/>
              </w:rPr>
              <w:t xml:space="preserve"> </w:t>
            </w:r>
            <w:r w:rsidR="002D763E" w:rsidRPr="004D4906">
              <w:rPr>
                <w:rFonts w:ascii="Arial" w:hAnsi="Arial" w:cs="Arial"/>
                <w:sz w:val="20"/>
                <w:szCs w:val="20"/>
              </w:rPr>
              <w:t xml:space="preserve">back </w:t>
            </w:r>
            <w:r w:rsidRPr="004D4906">
              <w:rPr>
                <w:rFonts w:ascii="Arial" w:hAnsi="Arial" w:cs="Arial"/>
                <w:sz w:val="20"/>
                <w:szCs w:val="20"/>
              </w:rPr>
              <w:t xml:space="preserve">a departing Founder’s shares as follows </w:t>
            </w:r>
            <w:r w:rsidR="002D763E" w:rsidRPr="004D4906">
              <w:rPr>
                <w:rFonts w:ascii="Arial" w:hAnsi="Arial" w:cs="Arial"/>
                <w:sz w:val="20"/>
                <w:szCs w:val="20"/>
              </w:rPr>
              <w:t>[</w:t>
            </w:r>
            <w:r w:rsidRPr="004D4906">
              <w:rPr>
                <w:rFonts w:ascii="Arial" w:hAnsi="Arial" w:cs="Arial"/>
                <w:sz w:val="20"/>
                <w:szCs w:val="20"/>
              </w:rPr>
              <w:t>100</w:t>
            </w:r>
            <w:r w:rsidR="002D763E" w:rsidRPr="004D4906">
              <w:rPr>
                <w:rFonts w:ascii="Arial" w:hAnsi="Arial" w:cs="Arial"/>
                <w:sz w:val="20"/>
                <w:szCs w:val="20"/>
              </w:rPr>
              <w:t xml:space="preserve">]% for first [12 months] after Closing; thereafter, right lapses in equal [monthly] increments over following </w:t>
            </w:r>
            <w:r w:rsidR="0098572D" w:rsidRPr="004D4906">
              <w:rPr>
                <w:rFonts w:ascii="Arial" w:hAnsi="Arial" w:cs="Arial"/>
                <w:sz w:val="20"/>
                <w:szCs w:val="20"/>
              </w:rPr>
              <w:t>[</w:t>
            </w:r>
            <w:r w:rsidR="0098572D">
              <w:rPr>
                <w:rFonts w:ascii="Arial" w:hAnsi="Arial" w:cs="Arial"/>
                <w:sz w:val="20"/>
                <w:szCs w:val="20"/>
              </w:rPr>
              <w:t>●</w:t>
            </w:r>
            <w:r w:rsidR="0098572D" w:rsidRPr="004D4906">
              <w:rPr>
                <w:rFonts w:ascii="Arial" w:hAnsi="Arial" w:cs="Arial"/>
                <w:sz w:val="20"/>
                <w:szCs w:val="20"/>
              </w:rPr>
              <w:t>]</w:t>
            </w:r>
            <w:r w:rsidR="002D763E" w:rsidRPr="004D4906">
              <w:rPr>
                <w:rFonts w:ascii="Arial" w:hAnsi="Arial" w:cs="Arial"/>
                <w:sz w:val="20"/>
                <w:szCs w:val="20"/>
              </w:rPr>
              <w:t xml:space="preserve"> months.]</w:t>
            </w:r>
            <w:r w:rsidR="002D763E" w:rsidRPr="004D4906">
              <w:rPr>
                <w:rStyle w:val="FootnoteReference"/>
                <w:rFonts w:ascii="Arial" w:hAnsi="Arial" w:cs="Arial"/>
                <w:szCs w:val="20"/>
              </w:rPr>
              <w:footnoteReference w:id="23"/>
            </w:r>
            <w:r w:rsidR="002D763E" w:rsidRPr="004D4906">
              <w:rPr>
                <w:rFonts w:ascii="Arial" w:hAnsi="Arial" w:cs="Arial"/>
                <w:sz w:val="20"/>
                <w:szCs w:val="20"/>
              </w:rPr>
              <w:t xml:space="preserve">  </w:t>
            </w:r>
          </w:p>
        </w:tc>
      </w:tr>
      <w:tr w:rsidR="003E53C9" w:rsidRPr="004D4906" w14:paraId="6A120332" w14:textId="77777777" w:rsidTr="001D1564">
        <w:tc>
          <w:tcPr>
            <w:tcW w:w="2010" w:type="pct"/>
            <w:tcBorders>
              <w:top w:val="nil"/>
              <w:left w:val="nil"/>
              <w:bottom w:val="nil"/>
              <w:right w:val="nil"/>
            </w:tcBorders>
          </w:tcPr>
          <w:p w14:paraId="450EE185" w14:textId="4E4F6EB1" w:rsidR="003E53C9" w:rsidRPr="004D4906" w:rsidRDefault="003E53C9" w:rsidP="002D763E">
            <w:pPr>
              <w:pStyle w:val="TableItalics"/>
              <w:rPr>
                <w:rFonts w:ascii="Arial" w:hAnsi="Arial" w:cs="Arial"/>
                <w:sz w:val="20"/>
                <w:szCs w:val="20"/>
              </w:rPr>
            </w:pPr>
            <w:r w:rsidRPr="004D4906">
              <w:rPr>
                <w:rFonts w:ascii="Arial" w:hAnsi="Arial" w:cs="Arial"/>
                <w:sz w:val="20"/>
                <w:szCs w:val="20"/>
              </w:rPr>
              <w:t>Co-Sale:</w:t>
            </w:r>
          </w:p>
        </w:tc>
        <w:tc>
          <w:tcPr>
            <w:tcW w:w="2990" w:type="pct"/>
            <w:tcBorders>
              <w:top w:val="nil"/>
              <w:left w:val="nil"/>
              <w:bottom w:val="nil"/>
              <w:right w:val="nil"/>
            </w:tcBorders>
          </w:tcPr>
          <w:p w14:paraId="7C46748F" w14:textId="61F38FA4" w:rsidR="003E53C9" w:rsidRPr="004D4906" w:rsidRDefault="003E53C9" w:rsidP="002D763E">
            <w:pPr>
              <w:pStyle w:val="TableText"/>
              <w:rPr>
                <w:rFonts w:ascii="Arial" w:hAnsi="Arial" w:cs="Arial"/>
                <w:sz w:val="20"/>
                <w:szCs w:val="20"/>
              </w:rPr>
            </w:pPr>
            <w:r w:rsidRPr="004D4906">
              <w:rPr>
                <w:rFonts w:ascii="Arial" w:hAnsi="Arial" w:cs="Arial"/>
                <w:sz w:val="20"/>
                <w:szCs w:val="20"/>
              </w:rPr>
              <w:t>If any Founder</w:t>
            </w:r>
            <w:r w:rsidR="00ED04A0" w:rsidRPr="004D4906">
              <w:rPr>
                <w:rFonts w:ascii="Arial" w:hAnsi="Arial" w:cs="Arial"/>
                <w:sz w:val="20"/>
                <w:szCs w:val="20"/>
              </w:rPr>
              <w:t xml:space="preserve"> or employee </w:t>
            </w:r>
            <w:r w:rsidR="004D4906">
              <w:rPr>
                <w:rFonts w:ascii="Arial" w:hAnsi="Arial" w:cs="Arial"/>
                <w:sz w:val="20"/>
                <w:szCs w:val="20"/>
              </w:rPr>
              <w:t>Shareholder</w:t>
            </w:r>
            <w:r w:rsidR="00ED04A0" w:rsidRPr="004D4906">
              <w:rPr>
                <w:rFonts w:ascii="Arial" w:hAnsi="Arial" w:cs="Arial"/>
                <w:sz w:val="20"/>
                <w:szCs w:val="20"/>
              </w:rPr>
              <w:t xml:space="preserve"> </w:t>
            </w:r>
            <w:r w:rsidRPr="004D4906">
              <w:rPr>
                <w:rFonts w:ascii="Arial" w:hAnsi="Arial" w:cs="Arial"/>
                <w:sz w:val="20"/>
                <w:szCs w:val="20"/>
              </w:rPr>
              <w:t xml:space="preserve">proposes to sell any of his/her Shares, they shall be required to procure that the purchaser of those Shares first makes an offer </w:t>
            </w:r>
            <w:r w:rsidR="00ED04A0" w:rsidRPr="004D4906">
              <w:rPr>
                <w:rFonts w:ascii="Arial" w:hAnsi="Arial" w:cs="Arial"/>
                <w:sz w:val="20"/>
                <w:szCs w:val="20"/>
              </w:rPr>
              <w:t xml:space="preserve">to the </w:t>
            </w:r>
            <w:r w:rsidRPr="004D4906">
              <w:rPr>
                <w:rFonts w:ascii="Arial" w:hAnsi="Arial" w:cs="Arial"/>
                <w:sz w:val="20"/>
                <w:szCs w:val="20"/>
              </w:rPr>
              <w:t>Series A Share</w:t>
            </w:r>
            <w:r w:rsidR="00ED04A0" w:rsidRPr="004D4906">
              <w:rPr>
                <w:rFonts w:ascii="Arial" w:hAnsi="Arial" w:cs="Arial"/>
                <w:sz w:val="20"/>
                <w:szCs w:val="20"/>
              </w:rPr>
              <w:t>holders,</w:t>
            </w:r>
            <w:r w:rsidRPr="004D4906">
              <w:rPr>
                <w:rFonts w:ascii="Arial" w:hAnsi="Arial" w:cs="Arial"/>
                <w:sz w:val="20"/>
                <w:szCs w:val="20"/>
              </w:rPr>
              <w:t xml:space="preserve"> in proportion to the amount of securities held by the </w:t>
            </w:r>
            <w:r w:rsidR="00ED04A0" w:rsidRPr="004D4906">
              <w:rPr>
                <w:rFonts w:ascii="Arial" w:hAnsi="Arial" w:cs="Arial"/>
                <w:sz w:val="20"/>
                <w:szCs w:val="20"/>
              </w:rPr>
              <w:t>s</w:t>
            </w:r>
            <w:r w:rsidRPr="004D4906">
              <w:rPr>
                <w:rFonts w:ascii="Arial" w:hAnsi="Arial" w:cs="Arial"/>
                <w:sz w:val="20"/>
                <w:szCs w:val="20"/>
              </w:rPr>
              <w:t>ell</w:t>
            </w:r>
            <w:r w:rsidR="00ED04A0" w:rsidRPr="004D4906">
              <w:rPr>
                <w:rFonts w:ascii="Arial" w:hAnsi="Arial" w:cs="Arial"/>
                <w:sz w:val="20"/>
                <w:szCs w:val="20"/>
              </w:rPr>
              <w:t>er</w:t>
            </w:r>
            <w:r w:rsidRPr="004D4906">
              <w:rPr>
                <w:rFonts w:ascii="Arial" w:hAnsi="Arial" w:cs="Arial"/>
                <w:sz w:val="20"/>
                <w:szCs w:val="20"/>
              </w:rPr>
              <w:t xml:space="preserve"> and those held by </w:t>
            </w:r>
            <w:r w:rsidR="00ED04A0" w:rsidRPr="004D4906">
              <w:rPr>
                <w:rFonts w:ascii="Arial" w:hAnsi="Arial" w:cs="Arial"/>
                <w:sz w:val="20"/>
                <w:szCs w:val="20"/>
              </w:rPr>
              <w:t xml:space="preserve">the </w:t>
            </w:r>
            <w:r w:rsidRPr="004D4906">
              <w:rPr>
                <w:rFonts w:ascii="Arial" w:hAnsi="Arial" w:cs="Arial"/>
                <w:sz w:val="20"/>
                <w:szCs w:val="20"/>
              </w:rPr>
              <w:t>Series A Shareholder</w:t>
            </w:r>
            <w:r w:rsidR="00ED04A0" w:rsidRPr="004D4906">
              <w:rPr>
                <w:rFonts w:ascii="Arial" w:hAnsi="Arial" w:cs="Arial"/>
                <w:sz w:val="20"/>
                <w:szCs w:val="20"/>
              </w:rPr>
              <w:t>s who elect to participate</w:t>
            </w:r>
            <w:r w:rsidRPr="004D4906">
              <w:rPr>
                <w:rFonts w:ascii="Arial" w:hAnsi="Arial" w:cs="Arial"/>
                <w:sz w:val="20"/>
                <w:szCs w:val="20"/>
              </w:rPr>
              <w:t>.</w:t>
            </w:r>
            <w:r w:rsidR="00ED04A0" w:rsidRPr="004D4906">
              <w:rPr>
                <w:rFonts w:ascii="Arial" w:hAnsi="Arial" w:cs="Arial"/>
                <w:sz w:val="20"/>
                <w:szCs w:val="20"/>
              </w:rPr>
              <w:t xml:space="preserve"> </w:t>
            </w:r>
          </w:p>
          <w:p w14:paraId="66EE9689" w14:textId="207C6FFF" w:rsidR="003E53C9" w:rsidRPr="004D4906" w:rsidRDefault="003E53C9" w:rsidP="002D763E">
            <w:pPr>
              <w:pStyle w:val="TableText"/>
              <w:rPr>
                <w:rFonts w:ascii="Arial" w:hAnsi="Arial" w:cs="Arial"/>
                <w:sz w:val="20"/>
                <w:szCs w:val="20"/>
              </w:rPr>
            </w:pPr>
            <w:r w:rsidRPr="004D4906">
              <w:rPr>
                <w:rFonts w:ascii="Arial" w:hAnsi="Arial" w:cs="Arial"/>
                <w:sz w:val="20"/>
                <w:szCs w:val="20"/>
              </w:rPr>
              <w:t xml:space="preserve">The offer shall be at the same price and the same terms as the Founder’s Shares are being purchased, subject to the terms of the Founder Lock Up. </w:t>
            </w:r>
          </w:p>
        </w:tc>
      </w:tr>
      <w:tr w:rsidR="002D763E" w:rsidRPr="004D4906" w14:paraId="6103C724" w14:textId="77777777" w:rsidTr="001D1564">
        <w:tc>
          <w:tcPr>
            <w:tcW w:w="2010" w:type="pct"/>
            <w:tcBorders>
              <w:top w:val="nil"/>
              <w:left w:val="nil"/>
              <w:bottom w:val="nil"/>
              <w:right w:val="nil"/>
            </w:tcBorders>
          </w:tcPr>
          <w:p w14:paraId="0C1A3A3F" w14:textId="159F0CCA" w:rsidR="002D763E" w:rsidRPr="004D4906" w:rsidRDefault="002D763E" w:rsidP="002D763E">
            <w:pPr>
              <w:pStyle w:val="TableItalics"/>
              <w:rPr>
                <w:rFonts w:ascii="Arial" w:hAnsi="Arial" w:cs="Arial"/>
                <w:sz w:val="20"/>
                <w:szCs w:val="20"/>
              </w:rPr>
            </w:pPr>
            <w:r w:rsidRPr="004D4906">
              <w:rPr>
                <w:rFonts w:ascii="Arial" w:hAnsi="Arial" w:cs="Arial"/>
                <w:sz w:val="20"/>
                <w:szCs w:val="20"/>
              </w:rPr>
              <w:t xml:space="preserve">[Existing </w:t>
            </w:r>
            <w:r w:rsidR="00C44739">
              <w:rPr>
                <w:rFonts w:ascii="Arial" w:hAnsi="Arial" w:cs="Arial"/>
                <w:sz w:val="20"/>
                <w:szCs w:val="20"/>
              </w:rPr>
              <w:t>Preference</w:t>
            </w:r>
            <w:r w:rsidRPr="004D4906">
              <w:rPr>
                <w:rFonts w:ascii="Arial" w:hAnsi="Arial" w:cs="Arial"/>
                <w:sz w:val="20"/>
                <w:szCs w:val="20"/>
              </w:rPr>
              <w:t xml:space="preserve"> Shares:</w:t>
            </w:r>
            <w:r w:rsidRPr="004D4906">
              <w:rPr>
                <w:rStyle w:val="FootnoteReference"/>
                <w:rFonts w:ascii="Arial" w:hAnsi="Arial" w:cs="Arial"/>
                <w:szCs w:val="20"/>
              </w:rPr>
              <w:footnoteReference w:id="24"/>
            </w:r>
          </w:p>
        </w:tc>
        <w:tc>
          <w:tcPr>
            <w:tcW w:w="2990" w:type="pct"/>
            <w:tcBorders>
              <w:top w:val="nil"/>
              <w:left w:val="nil"/>
              <w:bottom w:val="nil"/>
              <w:right w:val="nil"/>
            </w:tcBorders>
          </w:tcPr>
          <w:p w14:paraId="65394472" w14:textId="341CD02E" w:rsidR="002D763E" w:rsidRPr="004D4906" w:rsidRDefault="002D763E" w:rsidP="002D763E">
            <w:pPr>
              <w:pStyle w:val="TableText"/>
              <w:rPr>
                <w:rFonts w:ascii="Arial" w:hAnsi="Arial" w:cs="Arial"/>
                <w:sz w:val="20"/>
                <w:szCs w:val="20"/>
              </w:rPr>
            </w:pPr>
            <w:r w:rsidRPr="004D4906">
              <w:rPr>
                <w:rFonts w:ascii="Arial" w:hAnsi="Arial" w:cs="Arial"/>
                <w:sz w:val="20"/>
                <w:szCs w:val="20"/>
              </w:rPr>
              <w:t xml:space="preserve">The terms set forth </w:t>
            </w:r>
            <w:r w:rsidRPr="004D4906">
              <w:rPr>
                <w:rFonts w:ascii="Arial" w:hAnsi="Arial" w:cs="Arial"/>
                <w:bCs/>
                <w:sz w:val="20"/>
                <w:szCs w:val="20"/>
              </w:rPr>
              <w:t>above</w:t>
            </w:r>
            <w:r w:rsidRPr="004D4906">
              <w:rPr>
                <w:rFonts w:ascii="Arial" w:hAnsi="Arial" w:cs="Arial"/>
                <w:sz w:val="20"/>
                <w:szCs w:val="20"/>
              </w:rPr>
              <w:t xml:space="preserve"> for the Series </w:t>
            </w:r>
            <w:r w:rsidR="006E1E2C" w:rsidRPr="004D4906">
              <w:rPr>
                <w:rFonts w:ascii="Arial" w:hAnsi="Arial" w:cs="Arial"/>
                <w:sz w:val="20"/>
                <w:szCs w:val="20"/>
              </w:rPr>
              <w:t>A</w:t>
            </w:r>
            <w:r w:rsidRPr="004D4906">
              <w:rPr>
                <w:rFonts w:ascii="Arial" w:hAnsi="Arial" w:cs="Arial"/>
                <w:bCs/>
                <w:sz w:val="20"/>
                <w:szCs w:val="20"/>
              </w:rPr>
              <w:t xml:space="preserve"> </w:t>
            </w:r>
            <w:r w:rsidRPr="004D4906">
              <w:rPr>
                <w:rFonts w:ascii="Arial" w:hAnsi="Arial" w:cs="Arial"/>
                <w:sz w:val="20"/>
                <w:szCs w:val="20"/>
              </w:rPr>
              <w:t xml:space="preserve">Shares are subject to a review of the rights, preferences and restrictions for the existing </w:t>
            </w:r>
            <w:r w:rsidR="00C44739">
              <w:rPr>
                <w:rFonts w:ascii="Arial" w:hAnsi="Arial" w:cs="Arial"/>
                <w:sz w:val="20"/>
                <w:szCs w:val="20"/>
              </w:rPr>
              <w:t>Preference</w:t>
            </w:r>
            <w:r w:rsidRPr="004D4906">
              <w:rPr>
                <w:rFonts w:ascii="Arial" w:hAnsi="Arial" w:cs="Arial"/>
                <w:sz w:val="20"/>
                <w:szCs w:val="20"/>
              </w:rPr>
              <w:t xml:space="preserve"> Shares.  Any changes necessary to conform the existing </w:t>
            </w:r>
            <w:r w:rsidR="00C44739">
              <w:rPr>
                <w:rFonts w:ascii="Arial" w:hAnsi="Arial" w:cs="Arial"/>
                <w:sz w:val="20"/>
                <w:szCs w:val="20"/>
              </w:rPr>
              <w:t>Preference</w:t>
            </w:r>
            <w:r w:rsidRPr="004D4906">
              <w:rPr>
                <w:rFonts w:ascii="Arial" w:hAnsi="Arial" w:cs="Arial"/>
                <w:sz w:val="20"/>
                <w:szCs w:val="20"/>
              </w:rPr>
              <w:t xml:space="preserve"> Shares to this term sheet will be made at the Closing.</w:t>
            </w:r>
            <w:r w:rsidR="006E1E2C" w:rsidRPr="004D4906">
              <w:rPr>
                <w:rFonts w:ascii="Arial" w:hAnsi="Arial" w:cs="Arial"/>
                <w:sz w:val="20"/>
                <w:szCs w:val="20"/>
              </w:rPr>
              <w:t>]</w:t>
            </w:r>
            <w:r w:rsidRPr="004D4906">
              <w:rPr>
                <w:rFonts w:ascii="Arial" w:hAnsi="Arial" w:cs="Arial"/>
                <w:sz w:val="20"/>
                <w:szCs w:val="20"/>
              </w:rPr>
              <w:t xml:space="preserve"> </w:t>
            </w:r>
          </w:p>
        </w:tc>
      </w:tr>
      <w:tr w:rsidR="002D763E" w:rsidRPr="004D4906" w14:paraId="1353D78F" w14:textId="77777777" w:rsidTr="0002776F">
        <w:tc>
          <w:tcPr>
            <w:tcW w:w="2010" w:type="pct"/>
            <w:tcBorders>
              <w:top w:val="nil"/>
              <w:left w:val="nil"/>
              <w:bottom w:val="nil"/>
              <w:right w:val="nil"/>
            </w:tcBorders>
          </w:tcPr>
          <w:p w14:paraId="02CBDF8D" w14:textId="24D3E952" w:rsidR="002D763E" w:rsidRPr="004D4906" w:rsidRDefault="002D763E" w:rsidP="002D763E">
            <w:pPr>
              <w:pStyle w:val="TableItalics"/>
              <w:rPr>
                <w:rFonts w:ascii="Arial" w:hAnsi="Arial" w:cs="Arial"/>
                <w:sz w:val="20"/>
                <w:szCs w:val="20"/>
              </w:rPr>
            </w:pPr>
            <w:commentRangeStart w:id="54"/>
            <w:r w:rsidRPr="004D4906">
              <w:rPr>
                <w:rFonts w:ascii="Arial" w:hAnsi="Arial" w:cs="Arial"/>
                <w:sz w:val="20"/>
                <w:szCs w:val="20"/>
              </w:rPr>
              <w:t>Compulsory Sales</w:t>
            </w:r>
            <w:commentRangeEnd w:id="54"/>
            <w:r w:rsidR="003265F0" w:rsidRPr="004D4906">
              <w:rPr>
                <w:rStyle w:val="CommentReference"/>
                <w:rFonts w:ascii="Arial" w:hAnsi="Arial" w:cs="Arial"/>
                <w:sz w:val="20"/>
                <w:szCs w:val="20"/>
              </w:rPr>
              <w:commentReference w:id="54"/>
            </w:r>
          </w:p>
        </w:tc>
        <w:tc>
          <w:tcPr>
            <w:tcW w:w="2990" w:type="pct"/>
            <w:tcBorders>
              <w:top w:val="nil"/>
              <w:left w:val="nil"/>
              <w:bottom w:val="nil"/>
              <w:right w:val="nil"/>
            </w:tcBorders>
          </w:tcPr>
          <w:p w14:paraId="414F2354" w14:textId="73FBC923" w:rsidR="002D763E" w:rsidRPr="004D4906" w:rsidRDefault="002D763E" w:rsidP="002D763E">
            <w:pPr>
              <w:pStyle w:val="TableText"/>
              <w:rPr>
                <w:rFonts w:ascii="Arial" w:hAnsi="Arial" w:cs="Arial"/>
                <w:sz w:val="20"/>
                <w:szCs w:val="20"/>
              </w:rPr>
            </w:pPr>
            <w:r w:rsidRPr="004D4906">
              <w:rPr>
                <w:rFonts w:ascii="Arial" w:hAnsi="Arial" w:cs="Arial"/>
                <w:sz w:val="20"/>
                <w:szCs w:val="20"/>
              </w:rPr>
              <w:t>Any Shareholder who experiences the following events (“</w:t>
            </w:r>
            <w:r w:rsidRPr="004D4906">
              <w:rPr>
                <w:rFonts w:ascii="Arial" w:hAnsi="Arial" w:cs="Arial"/>
                <w:b/>
                <w:bCs/>
                <w:sz w:val="20"/>
                <w:szCs w:val="20"/>
              </w:rPr>
              <w:t>Exiting Shareholder</w:t>
            </w:r>
            <w:r w:rsidRPr="004D4906">
              <w:rPr>
                <w:rFonts w:ascii="Arial" w:hAnsi="Arial" w:cs="Arial"/>
                <w:sz w:val="20"/>
                <w:szCs w:val="20"/>
              </w:rPr>
              <w:t xml:space="preserve">”) will be forced to offer </w:t>
            </w:r>
            <w:r w:rsidR="006E1E2C" w:rsidRPr="004D4906">
              <w:rPr>
                <w:rFonts w:ascii="Arial" w:hAnsi="Arial" w:cs="Arial"/>
                <w:sz w:val="20"/>
                <w:szCs w:val="20"/>
              </w:rPr>
              <w:t xml:space="preserve">to sell </w:t>
            </w:r>
            <w:r w:rsidRPr="004D4906">
              <w:rPr>
                <w:rFonts w:ascii="Arial" w:hAnsi="Arial" w:cs="Arial"/>
                <w:sz w:val="20"/>
                <w:szCs w:val="20"/>
              </w:rPr>
              <w:t xml:space="preserve">their shares to the Company and/or the other </w:t>
            </w:r>
            <w:r w:rsidR="004D4906">
              <w:rPr>
                <w:rFonts w:ascii="Arial" w:hAnsi="Arial" w:cs="Arial"/>
                <w:sz w:val="20"/>
                <w:szCs w:val="20"/>
              </w:rPr>
              <w:t>Shareholder</w:t>
            </w:r>
            <w:r w:rsidRPr="004D4906">
              <w:rPr>
                <w:rFonts w:ascii="Arial" w:hAnsi="Arial" w:cs="Arial"/>
                <w:sz w:val="20"/>
                <w:szCs w:val="20"/>
              </w:rPr>
              <w:t>s:</w:t>
            </w:r>
          </w:p>
          <w:p w14:paraId="46F9385E" w14:textId="77777777" w:rsidR="002D763E" w:rsidRPr="004D4906" w:rsidRDefault="002D763E" w:rsidP="002D763E">
            <w:pPr>
              <w:pStyle w:val="TableText"/>
              <w:numPr>
                <w:ilvl w:val="0"/>
                <w:numId w:val="17"/>
              </w:numPr>
              <w:rPr>
                <w:rFonts w:ascii="Arial" w:hAnsi="Arial" w:cs="Arial"/>
                <w:sz w:val="20"/>
                <w:szCs w:val="20"/>
              </w:rPr>
            </w:pPr>
            <w:r w:rsidRPr="004D4906">
              <w:rPr>
                <w:rFonts w:ascii="Arial" w:hAnsi="Arial" w:cs="Arial"/>
                <w:sz w:val="20"/>
                <w:szCs w:val="20"/>
              </w:rPr>
              <w:t>Termination of employment for Cause (defined below)</w:t>
            </w:r>
          </w:p>
          <w:p w14:paraId="7D00371C" w14:textId="506B53CB" w:rsidR="002D763E" w:rsidRPr="004D4906" w:rsidRDefault="002D763E" w:rsidP="002D763E">
            <w:pPr>
              <w:pStyle w:val="TableText"/>
              <w:numPr>
                <w:ilvl w:val="0"/>
                <w:numId w:val="17"/>
              </w:numPr>
              <w:rPr>
                <w:rFonts w:ascii="Arial" w:hAnsi="Arial" w:cs="Arial"/>
                <w:sz w:val="20"/>
                <w:szCs w:val="20"/>
              </w:rPr>
            </w:pPr>
            <w:r w:rsidRPr="004D4906">
              <w:rPr>
                <w:rFonts w:ascii="Arial" w:hAnsi="Arial" w:cs="Arial"/>
                <w:sz w:val="20"/>
                <w:szCs w:val="20"/>
              </w:rPr>
              <w:lastRenderedPageBreak/>
              <w:t xml:space="preserve">Death, </w:t>
            </w:r>
            <w:r w:rsidR="006E4487">
              <w:rPr>
                <w:rFonts w:ascii="Arial" w:hAnsi="Arial" w:cs="Arial"/>
                <w:sz w:val="20"/>
                <w:szCs w:val="20"/>
              </w:rPr>
              <w:t>physical or mental incapacity</w:t>
            </w:r>
            <w:r w:rsidRPr="004D4906">
              <w:rPr>
                <w:rFonts w:ascii="Arial" w:hAnsi="Arial" w:cs="Arial"/>
                <w:sz w:val="20"/>
                <w:szCs w:val="20"/>
              </w:rPr>
              <w:t>,</w:t>
            </w:r>
          </w:p>
          <w:p w14:paraId="64E2EB0F" w14:textId="77777777" w:rsidR="002D763E" w:rsidRPr="004D4906" w:rsidRDefault="002D763E" w:rsidP="002D763E">
            <w:pPr>
              <w:pStyle w:val="TableText"/>
              <w:numPr>
                <w:ilvl w:val="0"/>
                <w:numId w:val="17"/>
              </w:numPr>
              <w:rPr>
                <w:rFonts w:ascii="Arial" w:hAnsi="Arial" w:cs="Arial"/>
                <w:sz w:val="20"/>
                <w:szCs w:val="20"/>
              </w:rPr>
            </w:pPr>
            <w:r w:rsidRPr="004D4906">
              <w:rPr>
                <w:rFonts w:ascii="Arial" w:hAnsi="Arial" w:cs="Arial"/>
                <w:sz w:val="20"/>
                <w:szCs w:val="20"/>
              </w:rPr>
              <w:t>Insolvency/liquidation</w:t>
            </w:r>
          </w:p>
          <w:p w14:paraId="2C27F33D" w14:textId="407A7FD8" w:rsidR="002D763E" w:rsidRPr="004D4906" w:rsidRDefault="002D763E" w:rsidP="002D763E">
            <w:pPr>
              <w:pStyle w:val="TableText"/>
              <w:numPr>
                <w:ilvl w:val="0"/>
                <w:numId w:val="17"/>
              </w:numPr>
              <w:rPr>
                <w:rFonts w:ascii="Arial" w:hAnsi="Arial" w:cs="Arial"/>
                <w:sz w:val="20"/>
                <w:szCs w:val="20"/>
              </w:rPr>
            </w:pPr>
            <w:r w:rsidRPr="004D4906">
              <w:rPr>
                <w:rFonts w:ascii="Arial" w:hAnsi="Arial" w:cs="Arial"/>
                <w:sz w:val="20"/>
                <w:szCs w:val="20"/>
              </w:rPr>
              <w:t xml:space="preserve">Conviction of a criminal offence resulting in imprisonment or a fine of greater than [the equivalent of </w:t>
            </w:r>
            <w:r w:rsidR="0098572D" w:rsidRPr="004A6DDB">
              <w:rPr>
                <w:rFonts w:ascii="Arial" w:hAnsi="Arial" w:cs="Arial"/>
                <w:sz w:val="20"/>
                <w:szCs w:val="20"/>
              </w:rPr>
              <w:t>[R[●] ([●])</w:t>
            </w:r>
            <w:r w:rsidR="0098572D" w:rsidRPr="004D4906">
              <w:rPr>
                <w:rFonts w:ascii="Arial" w:hAnsi="Arial" w:cs="Arial"/>
                <w:sz w:val="20"/>
                <w:szCs w:val="20"/>
              </w:rPr>
              <w:t>]</w:t>
            </w:r>
            <w:r w:rsidRPr="004D4906">
              <w:rPr>
                <w:rFonts w:ascii="Arial" w:hAnsi="Arial" w:cs="Arial"/>
                <w:sz w:val="20"/>
                <w:szCs w:val="20"/>
              </w:rPr>
              <w:t>]</w:t>
            </w:r>
          </w:p>
          <w:p w14:paraId="3A393DD9" w14:textId="03F93965" w:rsidR="002D763E" w:rsidRPr="004D4906" w:rsidRDefault="002D763E" w:rsidP="002D763E">
            <w:pPr>
              <w:pStyle w:val="TableText"/>
              <w:numPr>
                <w:ilvl w:val="0"/>
                <w:numId w:val="17"/>
              </w:numPr>
              <w:rPr>
                <w:rFonts w:ascii="Arial" w:hAnsi="Arial" w:cs="Arial"/>
                <w:sz w:val="20"/>
                <w:szCs w:val="20"/>
              </w:rPr>
            </w:pPr>
            <w:r w:rsidRPr="004D4906">
              <w:rPr>
                <w:rFonts w:ascii="Arial" w:hAnsi="Arial" w:cs="Arial"/>
                <w:sz w:val="20"/>
                <w:szCs w:val="20"/>
              </w:rPr>
              <w:t>[</w:t>
            </w:r>
            <w:r w:rsidRPr="004D4906">
              <w:rPr>
                <w:rFonts w:ascii="Arial" w:hAnsi="Arial" w:cs="Arial"/>
                <w:b/>
                <w:bCs/>
                <w:sz w:val="20"/>
                <w:szCs w:val="20"/>
              </w:rPr>
              <w:t>To Be Confirmed:</w:t>
            </w:r>
            <w:r w:rsidRPr="004D4906">
              <w:rPr>
                <w:rFonts w:ascii="Arial" w:hAnsi="Arial" w:cs="Arial"/>
                <w:sz w:val="20"/>
                <w:szCs w:val="20"/>
              </w:rPr>
              <w:t xml:space="preserve"> breach of material provision of the Transaction Documents</w:t>
            </w:r>
            <w:r w:rsidR="003265F0" w:rsidRPr="004D4906">
              <w:rPr>
                <w:rFonts w:ascii="Arial" w:hAnsi="Arial" w:cs="Arial"/>
                <w:sz w:val="20"/>
                <w:szCs w:val="20"/>
              </w:rPr>
              <w:t>]</w:t>
            </w:r>
          </w:p>
          <w:p w14:paraId="311FB3B6" w14:textId="2D2B7D19" w:rsidR="002D763E" w:rsidRPr="004D4906" w:rsidRDefault="002D763E" w:rsidP="002D763E">
            <w:pPr>
              <w:pStyle w:val="TableText"/>
              <w:rPr>
                <w:rFonts w:ascii="Arial" w:hAnsi="Arial" w:cs="Arial"/>
                <w:sz w:val="20"/>
                <w:szCs w:val="20"/>
              </w:rPr>
            </w:pPr>
            <w:r w:rsidRPr="004D4906">
              <w:rPr>
                <w:rFonts w:ascii="Arial" w:hAnsi="Arial" w:cs="Arial"/>
                <w:sz w:val="20"/>
                <w:szCs w:val="20"/>
              </w:rPr>
              <w:t xml:space="preserve">Where the Founder </w:t>
            </w:r>
            <w:r w:rsidR="006E1E2C" w:rsidRPr="004D4906">
              <w:rPr>
                <w:rFonts w:ascii="Arial" w:hAnsi="Arial" w:cs="Arial"/>
                <w:sz w:val="20"/>
                <w:szCs w:val="20"/>
              </w:rPr>
              <w:t xml:space="preserve">(or another employee </w:t>
            </w:r>
            <w:r w:rsidR="004D4906">
              <w:rPr>
                <w:rFonts w:ascii="Arial" w:hAnsi="Arial" w:cs="Arial"/>
                <w:sz w:val="20"/>
                <w:szCs w:val="20"/>
              </w:rPr>
              <w:t>Shareholder</w:t>
            </w:r>
            <w:r w:rsidR="006E1E2C" w:rsidRPr="004D4906">
              <w:rPr>
                <w:rFonts w:ascii="Arial" w:hAnsi="Arial" w:cs="Arial"/>
                <w:sz w:val="20"/>
                <w:szCs w:val="20"/>
              </w:rPr>
              <w:t xml:space="preserve">) </w:t>
            </w:r>
            <w:r w:rsidRPr="004D4906">
              <w:rPr>
                <w:rFonts w:ascii="Arial" w:hAnsi="Arial" w:cs="Arial"/>
                <w:sz w:val="20"/>
                <w:szCs w:val="20"/>
              </w:rPr>
              <w:t xml:space="preserve">is the Exiting Shareholder, he or she will sell their shares to the other </w:t>
            </w:r>
            <w:r w:rsidR="004D4906">
              <w:rPr>
                <w:rFonts w:ascii="Arial" w:hAnsi="Arial" w:cs="Arial"/>
                <w:sz w:val="20"/>
                <w:szCs w:val="20"/>
              </w:rPr>
              <w:t>Shareholder</w:t>
            </w:r>
            <w:r w:rsidRPr="004D4906">
              <w:rPr>
                <w:rFonts w:ascii="Arial" w:hAnsi="Arial" w:cs="Arial"/>
                <w:sz w:val="20"/>
                <w:szCs w:val="20"/>
              </w:rPr>
              <w:t xml:space="preserve">s at a Market Value for vested shares, and at nominal value for unvested shares. </w:t>
            </w:r>
            <w:r w:rsidR="00F4447A" w:rsidRPr="004D4906">
              <w:rPr>
                <w:rFonts w:ascii="Arial" w:hAnsi="Arial" w:cs="Arial"/>
                <w:sz w:val="20"/>
                <w:szCs w:val="20"/>
              </w:rPr>
              <w:t>Series A Shareholders</w:t>
            </w:r>
            <w:r w:rsidRPr="004D4906">
              <w:rPr>
                <w:rFonts w:ascii="Arial" w:hAnsi="Arial" w:cs="Arial"/>
                <w:sz w:val="20"/>
                <w:szCs w:val="20"/>
              </w:rPr>
              <w:t xml:space="preserve"> will sell their shares back at Market Value.</w:t>
            </w:r>
            <w:r w:rsidR="00BC2DCD">
              <w:rPr>
                <w:rStyle w:val="FootnoteReference"/>
                <w:rFonts w:cs="Arial"/>
                <w:szCs w:val="20"/>
              </w:rPr>
              <w:footnoteReference w:id="25"/>
            </w:r>
            <w:r w:rsidRPr="004D4906">
              <w:rPr>
                <w:rFonts w:ascii="Arial" w:hAnsi="Arial" w:cs="Arial"/>
                <w:sz w:val="20"/>
                <w:szCs w:val="20"/>
              </w:rPr>
              <w:t xml:space="preserve"> </w:t>
            </w:r>
          </w:p>
          <w:p w14:paraId="71E82801" w14:textId="0B2E429E" w:rsidR="002D763E" w:rsidRPr="004D4906" w:rsidRDefault="002D763E" w:rsidP="002D763E">
            <w:pPr>
              <w:pStyle w:val="TableText"/>
              <w:rPr>
                <w:rFonts w:ascii="Arial" w:hAnsi="Arial" w:cs="Arial"/>
                <w:sz w:val="20"/>
                <w:szCs w:val="20"/>
              </w:rPr>
            </w:pPr>
            <w:r w:rsidRPr="004D4906">
              <w:rPr>
                <w:rFonts w:ascii="Arial" w:hAnsi="Arial" w:cs="Arial"/>
                <w:sz w:val="20"/>
                <w:szCs w:val="20"/>
              </w:rPr>
              <w:t>“Market Value” means the value of the Company agreed between the Company and the exiting Shareholder, alternatively, as determined by an independent valuer in accordance with International Private Equity and Venture Capital Valuation (IPEV) Guidelines (the “IPEV Guidelines”)</w:t>
            </w:r>
          </w:p>
          <w:p w14:paraId="624BDC6B" w14:textId="78680AA3" w:rsidR="002D763E" w:rsidRPr="004D4906" w:rsidRDefault="002D763E" w:rsidP="002D763E">
            <w:pPr>
              <w:pStyle w:val="TableText"/>
              <w:rPr>
                <w:rFonts w:ascii="Arial" w:hAnsi="Arial" w:cs="Arial"/>
                <w:sz w:val="20"/>
                <w:szCs w:val="20"/>
              </w:rPr>
            </w:pPr>
            <w:r w:rsidRPr="004D4906">
              <w:rPr>
                <w:rFonts w:ascii="Arial" w:hAnsi="Arial" w:cs="Arial"/>
                <w:sz w:val="20"/>
                <w:szCs w:val="20"/>
              </w:rPr>
              <w:t>“</w:t>
            </w:r>
            <w:commentRangeStart w:id="55"/>
            <w:r w:rsidRPr="004D4906">
              <w:rPr>
                <w:rFonts w:ascii="Arial" w:hAnsi="Arial" w:cs="Arial"/>
                <w:sz w:val="20"/>
                <w:szCs w:val="20"/>
              </w:rPr>
              <w:t>Cause</w:t>
            </w:r>
            <w:commentRangeEnd w:id="55"/>
            <w:r w:rsidR="00F4447A" w:rsidRPr="004D4906">
              <w:rPr>
                <w:rStyle w:val="CommentReference"/>
                <w:rFonts w:ascii="Arial" w:hAnsi="Arial" w:cs="Arial"/>
                <w:sz w:val="20"/>
                <w:szCs w:val="20"/>
              </w:rPr>
              <w:commentReference w:id="55"/>
            </w:r>
            <w:r w:rsidRPr="004D4906">
              <w:rPr>
                <w:rFonts w:ascii="Arial" w:hAnsi="Arial" w:cs="Arial"/>
                <w:sz w:val="20"/>
                <w:szCs w:val="20"/>
              </w:rPr>
              <w:t xml:space="preserve">” means where a Founder’s employment is terminated by reason of (i) the Founder’s commission of any act of theft, fraud, </w:t>
            </w:r>
            <w:r w:rsidR="006E1E2C" w:rsidRPr="004D4906">
              <w:rPr>
                <w:rFonts w:ascii="Arial" w:hAnsi="Arial" w:cs="Arial"/>
                <w:sz w:val="20"/>
                <w:szCs w:val="20"/>
              </w:rPr>
              <w:t>corruption</w:t>
            </w:r>
            <w:r w:rsidRPr="004D4906">
              <w:rPr>
                <w:rFonts w:ascii="Arial" w:hAnsi="Arial" w:cs="Arial"/>
                <w:sz w:val="20"/>
                <w:szCs w:val="20"/>
              </w:rPr>
              <w:t>, misappropriation of assets or property or acts of dishonesty with respect to the Company or any direct or indirect subsidiary thereof (whether or not  wholly owned), or in connection with the Company’s or such subsidiary’s business; (ii) the Founder’s gross negligence, repeated insubordination, or reckless misconduct, in each case that relates to the Company or any direct or indirect subsidiary thereof (whether or not wholly-owned); (iii) the Founder’s unauthorized disclosure of the Company’s or any direct or indirect subsidiary’s (whether or not wholly-owned) confidential information or trade secrets (including, without limitation, a breach of the terms and conditions of any agreement or instrument between the Company or any direct or indirect subsidiary thereof (whether or not wholly-owned) and the Founder applicable to the same); or (iv) the Founder’s conviction of crime related to the affairs of the Company or any direct or indirect subsidiary thereof (whether or not wholly-owned)</w:t>
            </w:r>
            <w:r w:rsidR="00F1153C" w:rsidRPr="004D4906">
              <w:rPr>
                <w:rFonts w:ascii="Arial" w:hAnsi="Arial" w:cs="Arial"/>
                <w:sz w:val="20"/>
                <w:szCs w:val="20"/>
              </w:rPr>
              <w:t>.</w:t>
            </w:r>
          </w:p>
        </w:tc>
      </w:tr>
      <w:tr w:rsidR="002D763E" w:rsidRPr="004D4906" w14:paraId="7D7EB2C9" w14:textId="77777777" w:rsidTr="0002776F">
        <w:tc>
          <w:tcPr>
            <w:tcW w:w="2010" w:type="pct"/>
            <w:tcBorders>
              <w:top w:val="nil"/>
              <w:left w:val="nil"/>
              <w:bottom w:val="nil"/>
              <w:right w:val="nil"/>
            </w:tcBorders>
          </w:tcPr>
          <w:p w14:paraId="4EA53F6F" w14:textId="77777777" w:rsidR="002D763E" w:rsidRPr="004D4906" w:rsidRDefault="002D763E" w:rsidP="002D763E">
            <w:pPr>
              <w:rPr>
                <w:rFonts w:ascii="Arial" w:hAnsi="Arial" w:cs="Arial"/>
                <w:i/>
                <w:iCs/>
                <w:sz w:val="20"/>
                <w:szCs w:val="20"/>
              </w:rPr>
            </w:pPr>
            <w:commentRangeStart w:id="56"/>
            <w:r w:rsidRPr="004D4906">
              <w:rPr>
                <w:rFonts w:ascii="Arial" w:hAnsi="Arial" w:cs="Arial"/>
                <w:i/>
                <w:iCs/>
                <w:sz w:val="20"/>
                <w:szCs w:val="20"/>
              </w:rPr>
              <w:lastRenderedPageBreak/>
              <w:t>Counsel and Expenses</w:t>
            </w:r>
            <w:commentRangeEnd w:id="56"/>
            <w:r w:rsidR="003265F0" w:rsidRPr="004D4906">
              <w:rPr>
                <w:rStyle w:val="CommentReference"/>
                <w:rFonts w:ascii="Arial" w:hAnsi="Arial" w:cs="Arial"/>
                <w:i/>
                <w:iCs/>
                <w:sz w:val="20"/>
                <w:szCs w:val="20"/>
              </w:rPr>
              <w:commentReference w:id="56"/>
            </w:r>
            <w:r w:rsidRPr="004D4906">
              <w:rPr>
                <w:rFonts w:ascii="Arial" w:hAnsi="Arial" w:cs="Arial"/>
                <w:i/>
                <w:iCs/>
                <w:sz w:val="20"/>
                <w:szCs w:val="20"/>
              </w:rPr>
              <w:t>:</w:t>
            </w:r>
          </w:p>
          <w:p w14:paraId="6515E216" w14:textId="7BC248E6" w:rsidR="002D763E" w:rsidRPr="004D4906" w:rsidRDefault="002D763E" w:rsidP="002D763E">
            <w:pPr>
              <w:pStyle w:val="TableItalics"/>
              <w:rPr>
                <w:rFonts w:ascii="Arial" w:hAnsi="Arial" w:cs="Arial"/>
                <w:sz w:val="20"/>
                <w:szCs w:val="20"/>
              </w:rPr>
            </w:pPr>
          </w:p>
        </w:tc>
        <w:tc>
          <w:tcPr>
            <w:tcW w:w="2990" w:type="pct"/>
            <w:tcBorders>
              <w:top w:val="nil"/>
              <w:left w:val="nil"/>
              <w:bottom w:val="nil"/>
              <w:right w:val="nil"/>
            </w:tcBorders>
          </w:tcPr>
          <w:p w14:paraId="138F5A0F" w14:textId="1B2F8511" w:rsidR="002D763E" w:rsidRPr="004D4906" w:rsidRDefault="006E1E2C" w:rsidP="002D763E">
            <w:pPr>
              <w:pStyle w:val="TableText"/>
              <w:rPr>
                <w:rFonts w:ascii="Arial" w:hAnsi="Arial" w:cs="Arial"/>
                <w:sz w:val="20"/>
                <w:szCs w:val="20"/>
              </w:rPr>
            </w:pPr>
            <w:r w:rsidRPr="004D4906">
              <w:rPr>
                <w:rFonts w:ascii="Arial" w:hAnsi="Arial" w:cs="Arial"/>
                <w:sz w:val="20"/>
                <w:szCs w:val="20"/>
              </w:rPr>
              <w:t>[Investor/</w:t>
            </w:r>
            <w:r w:rsidR="002D763E" w:rsidRPr="004D4906">
              <w:rPr>
                <w:rFonts w:ascii="Arial" w:hAnsi="Arial" w:cs="Arial"/>
                <w:sz w:val="20"/>
                <w:szCs w:val="20"/>
              </w:rPr>
              <w:t>The Company’s</w:t>
            </w:r>
            <w:r w:rsidRPr="004D4906">
              <w:rPr>
                <w:rFonts w:ascii="Arial" w:hAnsi="Arial" w:cs="Arial"/>
                <w:sz w:val="20"/>
                <w:szCs w:val="20"/>
              </w:rPr>
              <w:t>]</w:t>
            </w:r>
            <w:r w:rsidR="002D763E" w:rsidRPr="004D4906">
              <w:rPr>
                <w:rFonts w:ascii="Arial" w:hAnsi="Arial" w:cs="Arial"/>
                <w:sz w:val="20"/>
                <w:szCs w:val="20"/>
              </w:rPr>
              <w:t xml:space="preserve"> counsel shall prepare the applicable transaction documents. The Company shall bear its own legal and administrative costs of the financing, and, subject to Closing, shall also pay the reasonable fees and expenses of the Investors’ counsel up to a maximum amount of </w:t>
            </w:r>
            <w:r w:rsidR="0098572D" w:rsidRPr="004A6DDB">
              <w:rPr>
                <w:rFonts w:ascii="Arial" w:hAnsi="Arial" w:cs="Arial"/>
                <w:sz w:val="20"/>
                <w:szCs w:val="20"/>
              </w:rPr>
              <w:t>[R[●] ([●])</w:t>
            </w:r>
            <w:r w:rsidR="0098572D" w:rsidRPr="004D4906">
              <w:rPr>
                <w:rFonts w:ascii="Arial" w:hAnsi="Arial" w:cs="Arial"/>
                <w:sz w:val="20"/>
                <w:szCs w:val="20"/>
              </w:rPr>
              <w:t>]</w:t>
            </w:r>
            <w:r w:rsidR="002D763E" w:rsidRPr="004D4906">
              <w:rPr>
                <w:rFonts w:ascii="Arial" w:hAnsi="Arial" w:cs="Arial"/>
                <w:sz w:val="20"/>
                <w:szCs w:val="20"/>
              </w:rPr>
              <w:t xml:space="preserve">, if applicable. Save as expressly provided </w:t>
            </w:r>
            <w:r w:rsidR="002D763E" w:rsidRPr="004D4906">
              <w:rPr>
                <w:rFonts w:ascii="Arial" w:hAnsi="Arial" w:cs="Arial"/>
                <w:sz w:val="20"/>
                <w:szCs w:val="20"/>
              </w:rPr>
              <w:lastRenderedPageBreak/>
              <w:t>above, each party shall be responsible for its own legal and other costs incurred in connection with the financing.</w:t>
            </w:r>
            <w:r w:rsidR="00BC2DCD">
              <w:rPr>
                <w:rStyle w:val="FootnoteReference"/>
                <w:rFonts w:cs="Arial"/>
                <w:szCs w:val="20"/>
              </w:rPr>
              <w:footnoteReference w:id="26"/>
            </w:r>
            <w:r w:rsidR="002D763E" w:rsidRPr="004D4906">
              <w:rPr>
                <w:rFonts w:ascii="Arial" w:hAnsi="Arial" w:cs="Arial"/>
                <w:b/>
                <w:bCs/>
                <w:sz w:val="20"/>
                <w:szCs w:val="20"/>
                <w:u w:val="single"/>
              </w:rPr>
              <w:t xml:space="preserve"> </w:t>
            </w:r>
          </w:p>
        </w:tc>
      </w:tr>
      <w:tr w:rsidR="002D763E" w:rsidRPr="004D4906" w14:paraId="592744FE" w14:textId="77777777" w:rsidTr="001D1564">
        <w:tc>
          <w:tcPr>
            <w:tcW w:w="2010" w:type="pct"/>
            <w:tcBorders>
              <w:top w:val="nil"/>
              <w:left w:val="nil"/>
              <w:bottom w:val="nil"/>
              <w:right w:val="nil"/>
            </w:tcBorders>
          </w:tcPr>
          <w:p w14:paraId="68FBA856" w14:textId="3972DDE4" w:rsidR="002D763E" w:rsidRPr="004D4906" w:rsidRDefault="0073397E" w:rsidP="002D763E">
            <w:pPr>
              <w:pStyle w:val="TableItalics"/>
              <w:rPr>
                <w:rFonts w:ascii="Arial" w:hAnsi="Arial" w:cs="Arial"/>
                <w:sz w:val="20"/>
                <w:szCs w:val="20"/>
              </w:rPr>
            </w:pPr>
            <w:r w:rsidRPr="004D4906">
              <w:rPr>
                <w:rFonts w:ascii="Arial" w:hAnsi="Arial" w:cs="Arial"/>
                <w:sz w:val="20"/>
                <w:szCs w:val="20"/>
              </w:rPr>
              <w:lastRenderedPageBreak/>
              <w:t xml:space="preserve">Exclusivity and </w:t>
            </w:r>
            <w:r w:rsidR="002D763E" w:rsidRPr="004D4906">
              <w:rPr>
                <w:rFonts w:ascii="Arial" w:hAnsi="Arial" w:cs="Arial"/>
                <w:sz w:val="20"/>
                <w:szCs w:val="20"/>
              </w:rPr>
              <w:t>Confidentiality:</w:t>
            </w:r>
          </w:p>
        </w:tc>
        <w:tc>
          <w:tcPr>
            <w:tcW w:w="2990" w:type="pct"/>
            <w:tcBorders>
              <w:top w:val="nil"/>
              <w:left w:val="nil"/>
              <w:bottom w:val="nil"/>
              <w:right w:val="nil"/>
            </w:tcBorders>
          </w:tcPr>
          <w:p w14:paraId="1975D98A" w14:textId="600AD47A" w:rsidR="002D763E" w:rsidRPr="004D4906" w:rsidRDefault="002D763E" w:rsidP="002D763E">
            <w:pPr>
              <w:widowControl w:val="0"/>
              <w:spacing w:after="240"/>
              <w:ind w:right="14"/>
              <w:jc w:val="both"/>
              <w:rPr>
                <w:rFonts w:ascii="Arial" w:hAnsi="Arial" w:cs="Arial"/>
                <w:sz w:val="20"/>
                <w:szCs w:val="20"/>
              </w:rPr>
            </w:pPr>
            <w:r w:rsidRPr="004D4906">
              <w:rPr>
                <w:rFonts w:ascii="Arial" w:hAnsi="Arial" w:cs="Arial"/>
                <w:sz w:val="20"/>
                <w:szCs w:val="20"/>
              </w:rPr>
              <w:t xml:space="preserve">The Company and the Investors agree to work in good faith expeditiously towards the Closing.  The Company and the </w:t>
            </w:r>
            <w:r w:rsidR="00AC25D1" w:rsidRPr="004D4906">
              <w:rPr>
                <w:rFonts w:ascii="Arial" w:hAnsi="Arial" w:cs="Arial"/>
                <w:sz w:val="20"/>
                <w:szCs w:val="20"/>
              </w:rPr>
              <w:t>Founder</w:t>
            </w:r>
            <w:r w:rsidRPr="004D4906">
              <w:rPr>
                <w:rFonts w:ascii="Arial" w:hAnsi="Arial" w:cs="Arial"/>
                <w:sz w:val="20"/>
                <w:szCs w:val="20"/>
              </w:rPr>
              <w:t xml:space="preserve">s agree that they will not, for a period of </w:t>
            </w:r>
            <w:r w:rsidR="004A6DDB" w:rsidRPr="004A6DDB">
              <w:rPr>
                <w:rFonts w:ascii="Arial" w:hAnsi="Arial" w:cs="Arial"/>
                <w:sz w:val="20"/>
                <w:szCs w:val="20"/>
              </w:rPr>
              <w:t xml:space="preserve">[●] </w:t>
            </w:r>
            <w:r w:rsidRPr="004D4906">
              <w:rPr>
                <w:rFonts w:ascii="Arial" w:hAnsi="Arial" w:cs="Arial"/>
                <w:sz w:val="20"/>
                <w:szCs w:val="20"/>
              </w:rPr>
              <w:t xml:space="preserve"> days from the date these terms are accepted, take any action to solicit, initiate, encourage or assist the submission of any proposal, negotiation or offer from any person or entity other than the Investors relating to the sale or issuance, of any of the Shares of the Company or the acquisition, sale, lease, license or other disposition of the Company or any material part of the Shares or assets of the Company and shall notify the Investors promptly of any inquiries by any third parties in regards to the foregoing.  The Company will not disclose the terms of this Term Sheet to any person other than employees, Shareholders, members of the Board of Directors and the Company’s accountants and attorneys and other potential Investors acceptable to </w:t>
            </w:r>
            <w:r w:rsidR="004A6DDB" w:rsidRPr="004A6DDB">
              <w:rPr>
                <w:rFonts w:ascii="Arial" w:hAnsi="Arial" w:cs="Arial"/>
                <w:sz w:val="20"/>
                <w:szCs w:val="20"/>
              </w:rPr>
              <w:t>[●]</w:t>
            </w:r>
            <w:r w:rsidRPr="004D4906">
              <w:rPr>
                <w:rFonts w:ascii="Arial" w:hAnsi="Arial" w:cs="Arial"/>
                <w:sz w:val="20"/>
                <w:szCs w:val="20"/>
              </w:rPr>
              <w:t xml:space="preserve">, as lead Investor, without the written consent of the Investors (which shall not be unreasonably withheld, conditioned or delayed).  </w:t>
            </w:r>
          </w:p>
        </w:tc>
      </w:tr>
      <w:tr w:rsidR="002D763E" w:rsidRPr="004D4906" w14:paraId="026B5395" w14:textId="77777777" w:rsidTr="001D1564">
        <w:tc>
          <w:tcPr>
            <w:tcW w:w="2010" w:type="pct"/>
            <w:tcBorders>
              <w:top w:val="nil"/>
              <w:left w:val="nil"/>
              <w:bottom w:val="nil"/>
              <w:right w:val="nil"/>
            </w:tcBorders>
          </w:tcPr>
          <w:p w14:paraId="528EB783" w14:textId="77777777" w:rsidR="002D763E" w:rsidRPr="004D4906" w:rsidRDefault="002D763E" w:rsidP="002D763E">
            <w:pPr>
              <w:pStyle w:val="TableItalics"/>
              <w:rPr>
                <w:rFonts w:ascii="Arial" w:hAnsi="Arial" w:cs="Arial"/>
                <w:sz w:val="20"/>
                <w:szCs w:val="20"/>
              </w:rPr>
            </w:pPr>
            <w:r w:rsidRPr="004D4906">
              <w:rPr>
                <w:rFonts w:ascii="Arial" w:hAnsi="Arial" w:cs="Arial"/>
                <w:sz w:val="20"/>
                <w:szCs w:val="20"/>
              </w:rPr>
              <w:t>Expiration:</w:t>
            </w:r>
          </w:p>
        </w:tc>
        <w:tc>
          <w:tcPr>
            <w:tcW w:w="2990" w:type="pct"/>
            <w:tcBorders>
              <w:top w:val="nil"/>
              <w:left w:val="nil"/>
              <w:bottom w:val="nil"/>
              <w:right w:val="nil"/>
            </w:tcBorders>
          </w:tcPr>
          <w:p w14:paraId="4823045E" w14:textId="4A572F6B" w:rsidR="002D763E" w:rsidRPr="004D4906" w:rsidRDefault="002D763E" w:rsidP="002D763E">
            <w:pPr>
              <w:pStyle w:val="TableText"/>
              <w:rPr>
                <w:rFonts w:ascii="Arial" w:hAnsi="Arial" w:cs="Arial"/>
                <w:sz w:val="20"/>
                <w:szCs w:val="20"/>
              </w:rPr>
            </w:pPr>
            <w:r w:rsidRPr="004D4906">
              <w:rPr>
                <w:rFonts w:ascii="Arial" w:hAnsi="Arial" w:cs="Arial"/>
                <w:sz w:val="20"/>
                <w:szCs w:val="20"/>
              </w:rPr>
              <w:t xml:space="preserve">This Term Sheet expires on [_______ __, 20__] if not accepted by the Company by that date.  </w:t>
            </w:r>
          </w:p>
        </w:tc>
      </w:tr>
      <w:tr w:rsidR="0073397E" w:rsidRPr="004D4906" w14:paraId="56B52E0B" w14:textId="77777777" w:rsidTr="004D4906">
        <w:tc>
          <w:tcPr>
            <w:tcW w:w="2010" w:type="pct"/>
          </w:tcPr>
          <w:p w14:paraId="32E47EC2" w14:textId="70B12802" w:rsidR="0073397E" w:rsidRPr="004D4906" w:rsidRDefault="0073397E" w:rsidP="0073397E">
            <w:pPr>
              <w:pStyle w:val="TableItalics"/>
              <w:rPr>
                <w:rFonts w:ascii="Arial" w:hAnsi="Arial" w:cs="Arial"/>
                <w:sz w:val="20"/>
                <w:szCs w:val="20"/>
              </w:rPr>
            </w:pPr>
            <w:r w:rsidRPr="004D4906">
              <w:rPr>
                <w:rFonts w:ascii="Arial" w:hAnsi="Arial" w:cs="Arial"/>
                <w:sz w:val="20"/>
                <w:szCs w:val="20"/>
              </w:rPr>
              <w:t>Governing Law:</w:t>
            </w:r>
          </w:p>
        </w:tc>
        <w:tc>
          <w:tcPr>
            <w:tcW w:w="2990" w:type="pct"/>
          </w:tcPr>
          <w:p w14:paraId="02DF971F" w14:textId="5758CDE2" w:rsidR="0073397E" w:rsidRPr="004D4906" w:rsidRDefault="0073397E" w:rsidP="0073397E">
            <w:pPr>
              <w:pStyle w:val="TableText"/>
              <w:rPr>
                <w:rFonts w:ascii="Arial" w:hAnsi="Arial" w:cs="Arial"/>
                <w:sz w:val="20"/>
                <w:szCs w:val="20"/>
              </w:rPr>
            </w:pPr>
            <w:r w:rsidRPr="004D4906">
              <w:rPr>
                <w:rFonts w:ascii="Arial" w:hAnsi="Arial" w:cs="Arial"/>
                <w:sz w:val="20"/>
                <w:szCs w:val="20"/>
              </w:rPr>
              <w:t>This Term Sheet will be governed by the laws of South Africa.</w:t>
            </w:r>
          </w:p>
        </w:tc>
      </w:tr>
      <w:tr w:rsidR="0073397E" w:rsidRPr="004D4906" w14:paraId="417960B4" w14:textId="77777777" w:rsidTr="004D4906">
        <w:tc>
          <w:tcPr>
            <w:tcW w:w="2010" w:type="pct"/>
          </w:tcPr>
          <w:p w14:paraId="378C5044" w14:textId="04DF4C5E" w:rsidR="0073397E" w:rsidRPr="004D4906" w:rsidRDefault="0073397E" w:rsidP="0073397E">
            <w:pPr>
              <w:pStyle w:val="TableItalics"/>
              <w:rPr>
                <w:rFonts w:ascii="Arial" w:hAnsi="Arial" w:cs="Arial"/>
                <w:sz w:val="20"/>
                <w:szCs w:val="20"/>
              </w:rPr>
            </w:pPr>
            <w:r w:rsidRPr="004D4906">
              <w:rPr>
                <w:rFonts w:ascii="Arial" w:hAnsi="Arial" w:cs="Arial"/>
                <w:sz w:val="20"/>
                <w:szCs w:val="20"/>
              </w:rPr>
              <w:t>Arbitration:</w:t>
            </w:r>
          </w:p>
        </w:tc>
        <w:tc>
          <w:tcPr>
            <w:tcW w:w="2990" w:type="pct"/>
          </w:tcPr>
          <w:p w14:paraId="1CF01599" w14:textId="10D65DD5" w:rsidR="0073397E" w:rsidRPr="004D4906" w:rsidRDefault="0073397E" w:rsidP="0073397E">
            <w:pPr>
              <w:pStyle w:val="TableText"/>
              <w:rPr>
                <w:rFonts w:ascii="Arial" w:hAnsi="Arial" w:cs="Arial"/>
                <w:sz w:val="20"/>
                <w:szCs w:val="20"/>
              </w:rPr>
            </w:pPr>
            <w:r w:rsidRPr="004D4906">
              <w:rPr>
                <w:rFonts w:ascii="Arial" w:hAnsi="Arial" w:cs="Arial"/>
                <w:sz w:val="20"/>
                <w:szCs w:val="20"/>
              </w:rPr>
              <w:t>Any controversy, claim or dispute arising out of or relating to this Term Sheet shall be settled exclusively by binding arbitration in terms of arbitration legislation for the time being enforced in South Africa. The arbitration shall be conducted in [Cape Town/Johannesburg], South Africa by a sole arbitrator and judgment on the award may be entered, confirmed and enforced in any court of competent jurisdiction. Notwithstanding anything to the contrary contained in this Term Sheet, any party to this Term Sheet shall be entitled to apply for, and if successful, be granted, an interdict or other interim and/or urgent relief from any competent court having jurisdiction.</w:t>
            </w:r>
          </w:p>
        </w:tc>
      </w:tr>
    </w:tbl>
    <w:p w14:paraId="6A722EE7" w14:textId="77777777" w:rsidR="007D6C26" w:rsidRPr="004D4906" w:rsidRDefault="007D6C26" w:rsidP="007D6C26">
      <w:pPr>
        <w:spacing w:before="480"/>
        <w:jc w:val="center"/>
        <w:rPr>
          <w:rFonts w:ascii="Arial" w:hAnsi="Arial" w:cs="Arial"/>
          <w:sz w:val="20"/>
          <w:szCs w:val="20"/>
        </w:rPr>
      </w:pPr>
      <w:r w:rsidRPr="004D4906">
        <w:rPr>
          <w:rFonts w:ascii="Arial" w:hAnsi="Arial" w:cs="Arial"/>
          <w:sz w:val="20"/>
          <w:szCs w:val="20"/>
        </w:rPr>
        <w:t>[Signature Page Follows]</w:t>
      </w:r>
    </w:p>
    <w:p w14:paraId="397E4177" w14:textId="77777777" w:rsidR="00DD2457" w:rsidRPr="004D4906" w:rsidRDefault="00DD2457" w:rsidP="008A1E64">
      <w:pPr>
        <w:rPr>
          <w:rFonts w:ascii="Arial" w:hAnsi="Arial" w:cs="Arial"/>
          <w:sz w:val="20"/>
          <w:szCs w:val="20"/>
        </w:rPr>
      </w:pPr>
    </w:p>
    <w:p w14:paraId="3BA25224" w14:textId="77777777" w:rsidR="00DD2457" w:rsidRPr="004D4906" w:rsidRDefault="00DD2457" w:rsidP="00FD57EE">
      <w:pPr>
        <w:pStyle w:val="BodyText"/>
        <w:rPr>
          <w:rFonts w:ascii="Arial" w:hAnsi="Arial" w:cs="Arial"/>
          <w:sz w:val="20"/>
          <w:szCs w:val="20"/>
        </w:rPr>
        <w:sectPr w:rsidR="00DD2457" w:rsidRPr="004D4906" w:rsidSect="0001290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aperSrc w:first="15" w:other="15"/>
          <w:pgNumType w:start="1"/>
          <w:cols w:space="720"/>
          <w:titlePg/>
          <w:docGrid w:linePitch="326"/>
        </w:sectPr>
      </w:pPr>
    </w:p>
    <w:p w14:paraId="5D35F5BC" w14:textId="77777777" w:rsidR="00DD2457" w:rsidRPr="004D4906" w:rsidRDefault="00DD2457" w:rsidP="00FD57EE">
      <w:pPr>
        <w:pStyle w:val="BodyText"/>
        <w:rPr>
          <w:rFonts w:ascii="Arial" w:hAnsi="Arial" w:cs="Arial"/>
          <w:sz w:val="20"/>
          <w:szCs w:val="20"/>
        </w:rPr>
      </w:pPr>
      <w:r w:rsidRPr="004D4906">
        <w:rPr>
          <w:rFonts w:ascii="Arial" w:hAnsi="Arial" w:cs="Arial"/>
          <w:sz w:val="20"/>
          <w:szCs w:val="20"/>
        </w:rPr>
        <w:lastRenderedPageBreak/>
        <w:t>EXECUTED this [__] day of [_________], 20[__].</w:t>
      </w:r>
    </w:p>
    <w:p w14:paraId="7A211226" w14:textId="77777777" w:rsidR="00DD2457" w:rsidRPr="004D4906" w:rsidRDefault="00DD2457" w:rsidP="00FD57EE">
      <w:pPr>
        <w:pStyle w:val="BodyText"/>
        <w:rPr>
          <w:rFonts w:ascii="Arial" w:hAnsi="Arial" w:cs="Arial"/>
          <w:sz w:val="20"/>
          <w:szCs w:val="20"/>
        </w:rPr>
      </w:pPr>
    </w:p>
    <w:p w14:paraId="61C22860" w14:textId="08A99327" w:rsidR="00DD2457" w:rsidRPr="004D4906" w:rsidRDefault="00DD2457" w:rsidP="00DC2D1A">
      <w:pPr>
        <w:pStyle w:val="BodyText"/>
        <w:rPr>
          <w:rFonts w:ascii="Arial" w:hAnsi="Arial" w:cs="Arial"/>
          <w:sz w:val="20"/>
          <w:szCs w:val="20"/>
        </w:rPr>
      </w:pPr>
      <w:r w:rsidRPr="004D4906">
        <w:rPr>
          <w:rFonts w:ascii="Arial" w:hAnsi="Arial" w:cs="Arial"/>
          <w:sz w:val="20"/>
          <w:szCs w:val="20"/>
        </w:rPr>
        <w:t>[Signature Blocks]</w:t>
      </w:r>
    </w:p>
    <w:p w14:paraId="6C7EE9E0" w14:textId="1103F39E" w:rsidR="005B1515" w:rsidRPr="004D4906" w:rsidRDefault="005B1515" w:rsidP="00DC2D1A">
      <w:pPr>
        <w:pStyle w:val="BodyText"/>
        <w:rPr>
          <w:rFonts w:ascii="Arial" w:hAnsi="Arial" w:cs="Arial"/>
          <w:sz w:val="20"/>
          <w:szCs w:val="20"/>
        </w:rPr>
      </w:pPr>
    </w:p>
    <w:p w14:paraId="68D5FE6B" w14:textId="77777777" w:rsidR="005C2A21" w:rsidRPr="004D4906" w:rsidRDefault="005C2A21" w:rsidP="001D1564">
      <w:pPr>
        <w:pStyle w:val="Heading1"/>
        <w:widowControl w:val="0"/>
        <w:spacing w:after="120"/>
        <w:ind w:left="851" w:hanging="851"/>
        <w:rPr>
          <w:rFonts w:ascii="Arial" w:hAnsi="Arial" w:cs="Arial"/>
          <w:color w:val="000000" w:themeColor="text1"/>
          <w:sz w:val="20"/>
          <w:szCs w:val="20"/>
        </w:rPr>
      </w:pPr>
      <w:bookmarkStart w:id="57" w:name="_Ref201051834"/>
      <w:bookmarkStart w:id="58" w:name="_Toc201219743"/>
      <w:r w:rsidRPr="004D4906">
        <w:rPr>
          <w:rFonts w:ascii="Arial" w:hAnsi="Arial" w:cs="Arial"/>
          <w:color w:val="000000" w:themeColor="text1"/>
          <w:sz w:val="20"/>
          <w:szCs w:val="20"/>
        </w:rPr>
        <w:t>SCHEDULE A</w:t>
      </w:r>
      <w:bookmarkEnd w:id="57"/>
    </w:p>
    <w:bookmarkEnd w:id="58"/>
    <w:p w14:paraId="748E3E49" w14:textId="77777777" w:rsidR="005C2A21" w:rsidRPr="004D4906" w:rsidRDefault="005C2A21" w:rsidP="001D1564">
      <w:pPr>
        <w:pStyle w:val="Heading1"/>
        <w:widowControl w:val="0"/>
        <w:spacing w:after="120"/>
        <w:ind w:left="851" w:hanging="851"/>
        <w:rPr>
          <w:rFonts w:ascii="Arial" w:hAnsi="Arial" w:cs="Arial"/>
          <w:color w:val="000000" w:themeColor="text1"/>
          <w:sz w:val="20"/>
          <w:szCs w:val="20"/>
        </w:rPr>
      </w:pPr>
      <w:r w:rsidRPr="004D4906">
        <w:rPr>
          <w:rFonts w:ascii="Arial" w:hAnsi="Arial" w:cs="Arial"/>
          <w:sz w:val="20"/>
          <w:szCs w:val="20"/>
        </w:rPr>
        <w:t>INVESTORS</w:t>
      </w:r>
    </w:p>
    <w:p w14:paraId="4A82026F" w14:textId="77777777" w:rsidR="005C2A21" w:rsidRPr="004D4906" w:rsidRDefault="005C2A21" w:rsidP="001D1564">
      <w:pPr>
        <w:pStyle w:val="Heading1"/>
        <w:widowControl w:val="0"/>
        <w:spacing w:after="120"/>
        <w:ind w:left="851" w:hanging="851"/>
        <w:rPr>
          <w:rFonts w:ascii="Arial" w:hAnsi="Arial" w:cs="Arial"/>
          <w:color w:val="000000" w:themeColor="text1"/>
          <w:sz w:val="20"/>
          <w:szCs w:val="20"/>
        </w:rPr>
      </w:pPr>
      <w:bookmarkStart w:id="59" w:name="_Ref201051849"/>
      <w:bookmarkStart w:id="60" w:name="_Toc201219744"/>
      <w:r w:rsidRPr="004D4906">
        <w:rPr>
          <w:rFonts w:ascii="Arial" w:hAnsi="Arial" w:cs="Arial"/>
          <w:color w:val="000000" w:themeColor="text1"/>
          <w:sz w:val="20"/>
          <w:szCs w:val="20"/>
        </w:rPr>
        <w:t>SCHEDULE B</w:t>
      </w:r>
      <w:bookmarkEnd w:id="59"/>
    </w:p>
    <w:p w14:paraId="78A4314A" w14:textId="77777777" w:rsidR="005C2A21" w:rsidRPr="004D4906" w:rsidRDefault="005C2A21" w:rsidP="001D1564">
      <w:pPr>
        <w:pStyle w:val="Heading1"/>
        <w:widowControl w:val="0"/>
        <w:spacing w:after="120"/>
        <w:ind w:left="851" w:hanging="851"/>
        <w:rPr>
          <w:rFonts w:ascii="Arial" w:hAnsi="Arial" w:cs="Arial"/>
          <w:color w:val="000000" w:themeColor="text1"/>
          <w:sz w:val="20"/>
          <w:szCs w:val="20"/>
        </w:rPr>
      </w:pPr>
      <w:r w:rsidRPr="004D4906">
        <w:rPr>
          <w:rFonts w:ascii="Arial" w:hAnsi="Arial" w:cs="Arial"/>
          <w:sz w:val="20"/>
          <w:szCs w:val="20"/>
        </w:rPr>
        <w:t>FOUNDERS</w:t>
      </w:r>
      <w:bookmarkEnd w:id="60"/>
    </w:p>
    <w:p w14:paraId="06353309" w14:textId="77777777" w:rsidR="005C2A21" w:rsidRPr="004D4906" w:rsidRDefault="005C2A21" w:rsidP="001D1564">
      <w:pPr>
        <w:pStyle w:val="Heading1"/>
        <w:widowControl w:val="0"/>
        <w:spacing w:after="120"/>
        <w:ind w:left="851" w:hanging="851"/>
        <w:rPr>
          <w:rFonts w:ascii="Arial" w:hAnsi="Arial" w:cs="Arial"/>
          <w:color w:val="000000" w:themeColor="text1"/>
          <w:sz w:val="20"/>
          <w:szCs w:val="20"/>
        </w:rPr>
      </w:pPr>
      <w:r w:rsidRPr="004D4906">
        <w:rPr>
          <w:rFonts w:ascii="Arial" w:hAnsi="Arial" w:cs="Arial"/>
          <w:color w:val="000000" w:themeColor="text1"/>
          <w:sz w:val="20"/>
          <w:szCs w:val="20"/>
        </w:rPr>
        <w:t>SCHEDULe C</w:t>
      </w:r>
    </w:p>
    <w:p w14:paraId="41F39D1D" w14:textId="0AEEBAD5" w:rsidR="005C2A21" w:rsidRPr="004D4906" w:rsidRDefault="005C2A21" w:rsidP="001D1564">
      <w:pPr>
        <w:pStyle w:val="Heading1"/>
        <w:widowControl w:val="0"/>
        <w:spacing w:after="120"/>
        <w:ind w:left="851" w:hanging="851"/>
        <w:rPr>
          <w:rFonts w:ascii="Arial" w:hAnsi="Arial" w:cs="Arial"/>
          <w:color w:val="000000" w:themeColor="text1"/>
          <w:sz w:val="20"/>
          <w:szCs w:val="20"/>
        </w:rPr>
      </w:pPr>
      <w:r w:rsidRPr="004D4906">
        <w:rPr>
          <w:rFonts w:ascii="Arial" w:hAnsi="Arial" w:cs="Arial"/>
          <w:sz w:val="20"/>
          <w:szCs w:val="20"/>
        </w:rPr>
        <w:t>CAPITALISATION TABLE</w:t>
      </w:r>
    </w:p>
    <w:p w14:paraId="1347D85A" w14:textId="65E9C036" w:rsidR="00BE05FA" w:rsidRPr="004D4906" w:rsidRDefault="00BE05FA" w:rsidP="00BE05FA">
      <w:pPr>
        <w:pStyle w:val="Heading1"/>
        <w:widowControl w:val="0"/>
        <w:spacing w:after="120"/>
        <w:ind w:left="851" w:hanging="851"/>
        <w:rPr>
          <w:rFonts w:ascii="Arial" w:hAnsi="Arial" w:cs="Arial"/>
          <w:color w:val="000000" w:themeColor="text1"/>
          <w:sz w:val="20"/>
          <w:szCs w:val="20"/>
        </w:rPr>
      </w:pPr>
      <w:r w:rsidRPr="004D4906">
        <w:rPr>
          <w:rFonts w:ascii="Arial" w:hAnsi="Arial" w:cs="Arial"/>
          <w:color w:val="000000" w:themeColor="text1"/>
          <w:sz w:val="20"/>
          <w:szCs w:val="20"/>
        </w:rPr>
        <w:t>SCHEDULe D</w:t>
      </w:r>
    </w:p>
    <w:p w14:paraId="4643C073" w14:textId="47A24E79" w:rsidR="00BE05FA" w:rsidRPr="004D4906" w:rsidRDefault="00BE05FA" w:rsidP="00BE05FA">
      <w:pPr>
        <w:pStyle w:val="Heading1"/>
        <w:widowControl w:val="0"/>
        <w:spacing w:after="120"/>
        <w:ind w:left="851" w:hanging="851"/>
        <w:rPr>
          <w:rFonts w:ascii="Arial" w:hAnsi="Arial" w:cs="Arial"/>
          <w:color w:val="000000" w:themeColor="text1"/>
          <w:sz w:val="20"/>
          <w:szCs w:val="20"/>
        </w:rPr>
      </w:pPr>
      <w:r w:rsidRPr="004D4906">
        <w:rPr>
          <w:rFonts w:ascii="Arial" w:hAnsi="Arial" w:cs="Arial"/>
          <w:sz w:val="20"/>
          <w:szCs w:val="20"/>
        </w:rPr>
        <w:t xml:space="preserve">CONDITIONS </w:t>
      </w:r>
      <w:r w:rsidR="006B2802" w:rsidRPr="004D4906">
        <w:rPr>
          <w:rFonts w:ascii="Arial" w:hAnsi="Arial" w:cs="Arial"/>
          <w:sz w:val="20"/>
          <w:szCs w:val="20"/>
        </w:rPr>
        <w:t xml:space="preserve">TO </w:t>
      </w:r>
      <w:commentRangeStart w:id="61"/>
      <w:r w:rsidR="006B2802" w:rsidRPr="004D4906">
        <w:rPr>
          <w:rFonts w:ascii="Arial" w:hAnsi="Arial" w:cs="Arial"/>
          <w:sz w:val="20"/>
          <w:szCs w:val="20"/>
        </w:rPr>
        <w:t>CLOSING</w:t>
      </w:r>
      <w:commentRangeEnd w:id="61"/>
      <w:r w:rsidR="00976120" w:rsidRPr="004D4906">
        <w:rPr>
          <w:rStyle w:val="CommentReference"/>
          <w:rFonts w:ascii="Arial" w:hAnsi="Arial" w:cs="Arial"/>
          <w:color w:val="000000" w:themeColor="text1"/>
          <w:sz w:val="20"/>
          <w:szCs w:val="20"/>
        </w:rPr>
        <w:commentReference w:id="61"/>
      </w:r>
    </w:p>
    <w:p w14:paraId="19C27511" w14:textId="77777777" w:rsidR="005C2A21" w:rsidRPr="004D4906" w:rsidRDefault="005C2A21" w:rsidP="00DC2D1A">
      <w:pPr>
        <w:pStyle w:val="BodyText"/>
        <w:rPr>
          <w:rFonts w:ascii="Arial" w:hAnsi="Arial" w:cs="Arial"/>
          <w:sz w:val="20"/>
          <w:szCs w:val="20"/>
        </w:rPr>
        <w:sectPr w:rsidR="005C2A21" w:rsidRPr="004D4906" w:rsidSect="000B2393">
          <w:headerReference w:type="default" r:id="rId18"/>
          <w:footerReference w:type="default" r:id="rId19"/>
          <w:pgSz w:w="12240" w:h="15840" w:code="1"/>
          <w:pgMar w:top="1440" w:right="1440" w:bottom="1440" w:left="1440" w:header="720" w:footer="720" w:gutter="0"/>
          <w:paperSrc w:first="15" w:other="15"/>
          <w:cols w:space="720"/>
          <w:docGrid w:linePitch="326"/>
        </w:sectPr>
      </w:pPr>
    </w:p>
    <w:p w14:paraId="1FD974EE" w14:textId="383B04F9" w:rsidR="000D4D65" w:rsidRPr="004D4906" w:rsidRDefault="005C2A21" w:rsidP="000D4D65">
      <w:pPr>
        <w:pStyle w:val="Heading1"/>
        <w:ind w:left="709" w:hanging="709"/>
        <w:rPr>
          <w:rFonts w:ascii="Arial" w:hAnsi="Arial" w:cs="Arial"/>
          <w:sz w:val="20"/>
          <w:szCs w:val="20"/>
        </w:rPr>
      </w:pPr>
      <w:r w:rsidRPr="004D4906">
        <w:rPr>
          <w:rFonts w:ascii="Arial" w:hAnsi="Arial" w:cs="Arial"/>
          <w:sz w:val="20"/>
          <w:szCs w:val="20"/>
        </w:rPr>
        <w:lastRenderedPageBreak/>
        <w:t xml:space="preserve">SCHEDULE </w:t>
      </w:r>
      <w:r w:rsidR="00BE05FA" w:rsidRPr="004D4906">
        <w:rPr>
          <w:rFonts w:ascii="Arial" w:hAnsi="Arial" w:cs="Arial"/>
          <w:sz w:val="20"/>
          <w:szCs w:val="20"/>
        </w:rPr>
        <w:t>E</w:t>
      </w:r>
      <w:r w:rsidR="000D4D65" w:rsidRPr="004D4906">
        <w:rPr>
          <w:rFonts w:ascii="Arial" w:hAnsi="Arial" w:cs="Arial"/>
          <w:sz w:val="20"/>
          <w:szCs w:val="20"/>
        </w:rPr>
        <w:t>: VOTING RIGHTS SCHEDULE</w:t>
      </w:r>
    </w:p>
    <w:p w14:paraId="31A252A7" w14:textId="46E59FC6" w:rsidR="000D4D65" w:rsidRPr="004D4906" w:rsidRDefault="000D4D65" w:rsidP="004146A9">
      <w:pPr>
        <w:rPr>
          <w:rFonts w:ascii="Arial" w:eastAsia="Arial" w:hAnsi="Arial" w:cs="Arial"/>
          <w:sz w:val="20"/>
          <w:szCs w:val="20"/>
        </w:rPr>
      </w:pPr>
    </w:p>
    <w:p w14:paraId="0A2D25A5" w14:textId="7D4EE5A2" w:rsidR="00F1153C" w:rsidRPr="004D4906" w:rsidRDefault="00F1153C" w:rsidP="004D4906">
      <w:pPr>
        <w:jc w:val="center"/>
        <w:rPr>
          <w:rFonts w:ascii="Arial" w:eastAsia="Arial" w:hAnsi="Arial" w:cs="Arial"/>
          <w:b/>
          <w:bCs/>
          <w:sz w:val="20"/>
          <w:szCs w:val="20"/>
        </w:rPr>
      </w:pPr>
      <w:r w:rsidRPr="004D4906">
        <w:rPr>
          <w:rFonts w:ascii="Arial" w:eastAsia="Arial" w:hAnsi="Arial" w:cs="Arial"/>
          <w:b/>
          <w:bCs/>
          <w:sz w:val="20"/>
          <w:szCs w:val="20"/>
        </w:rPr>
        <w:t>PART 1:</w:t>
      </w:r>
    </w:p>
    <w:p w14:paraId="49FB944A" w14:textId="77777777" w:rsidR="00F1153C" w:rsidRPr="004D4906" w:rsidRDefault="00F1153C" w:rsidP="004146A9">
      <w:pPr>
        <w:rPr>
          <w:rFonts w:ascii="Arial" w:eastAsia="Arial" w:hAnsi="Arial" w:cs="Arial"/>
          <w:sz w:val="20"/>
          <w:szCs w:val="20"/>
        </w:rPr>
      </w:pPr>
    </w:p>
    <w:tbl>
      <w:tblPr>
        <w:tblW w:w="5000" w:type="pct"/>
        <w:tblLook w:val="0000" w:firstRow="0" w:lastRow="0" w:firstColumn="0" w:lastColumn="0" w:noHBand="0" w:noVBand="0"/>
      </w:tblPr>
      <w:tblGrid>
        <w:gridCol w:w="3763"/>
        <w:gridCol w:w="5597"/>
      </w:tblGrid>
      <w:tr w:rsidR="000D4D65" w:rsidRPr="004D4906" w14:paraId="79E1BBFF" w14:textId="77777777" w:rsidTr="009364E9">
        <w:tc>
          <w:tcPr>
            <w:tcW w:w="2010" w:type="pct"/>
            <w:tcBorders>
              <w:top w:val="nil"/>
              <w:left w:val="nil"/>
              <w:bottom w:val="nil"/>
              <w:right w:val="nil"/>
            </w:tcBorders>
          </w:tcPr>
          <w:p w14:paraId="56AFFB1D" w14:textId="77777777" w:rsidR="000D4D65" w:rsidRPr="004D4906" w:rsidRDefault="000D4D65" w:rsidP="009364E9">
            <w:pPr>
              <w:pStyle w:val="TableItalics"/>
              <w:rPr>
                <w:rFonts w:ascii="Arial" w:hAnsi="Arial" w:cs="Arial"/>
                <w:sz w:val="20"/>
                <w:szCs w:val="20"/>
              </w:rPr>
            </w:pPr>
            <w:r w:rsidRPr="004D4906">
              <w:rPr>
                <w:rFonts w:ascii="Arial" w:hAnsi="Arial" w:cs="Arial"/>
                <w:sz w:val="20"/>
                <w:szCs w:val="20"/>
              </w:rPr>
              <w:br w:type="page"/>
            </w:r>
            <w:r w:rsidRPr="004D4906">
              <w:rPr>
                <w:rFonts w:ascii="Arial" w:hAnsi="Arial" w:cs="Arial"/>
                <w:sz w:val="20"/>
                <w:szCs w:val="20"/>
              </w:rPr>
              <w:br w:type="page"/>
            </w:r>
            <w:r w:rsidRPr="004D4906">
              <w:rPr>
                <w:rFonts w:ascii="Arial" w:hAnsi="Arial" w:cs="Arial"/>
                <w:sz w:val="20"/>
                <w:szCs w:val="20"/>
              </w:rPr>
              <w:br w:type="page"/>
            </w:r>
            <w:r w:rsidRPr="004D4906">
              <w:rPr>
                <w:rFonts w:ascii="Arial" w:hAnsi="Arial" w:cs="Arial"/>
                <w:sz w:val="20"/>
                <w:szCs w:val="20"/>
              </w:rPr>
              <w:br w:type="page"/>
              <w:t xml:space="preserve">Protective Provisions: </w:t>
            </w:r>
          </w:p>
        </w:tc>
        <w:tc>
          <w:tcPr>
            <w:tcW w:w="2990" w:type="pct"/>
            <w:tcBorders>
              <w:top w:val="nil"/>
              <w:left w:val="nil"/>
              <w:bottom w:val="nil"/>
              <w:right w:val="nil"/>
            </w:tcBorders>
          </w:tcPr>
          <w:p w14:paraId="384164F9" w14:textId="1A864927" w:rsidR="000D4D65" w:rsidRPr="004D4906" w:rsidRDefault="000D4D65" w:rsidP="009364E9">
            <w:pPr>
              <w:pStyle w:val="TableText"/>
              <w:rPr>
                <w:rFonts w:ascii="Arial" w:hAnsi="Arial" w:cs="Arial"/>
                <w:b/>
                <w:bCs/>
                <w:sz w:val="20"/>
                <w:szCs w:val="20"/>
              </w:rPr>
            </w:pPr>
            <w:r w:rsidRPr="004D4906">
              <w:rPr>
                <w:rFonts w:ascii="Arial" w:hAnsi="Arial" w:cs="Arial"/>
                <w:sz w:val="20"/>
                <w:szCs w:val="20"/>
              </w:rPr>
              <w:t>So long as [</w:t>
            </w:r>
            <w:r w:rsidRPr="004D4906">
              <w:rPr>
                <w:rFonts w:ascii="Arial" w:hAnsi="Arial" w:cs="Arial"/>
                <w:i/>
                <w:iCs/>
                <w:sz w:val="20"/>
                <w:szCs w:val="20"/>
              </w:rPr>
              <w:t>insert fixed number or %</w:t>
            </w:r>
            <w:r w:rsidRPr="004D4906">
              <w:rPr>
                <w:rFonts w:ascii="Arial" w:hAnsi="Arial" w:cs="Arial"/>
                <w:sz w:val="20"/>
                <w:szCs w:val="20"/>
              </w:rPr>
              <w:t xml:space="preserve">] </w:t>
            </w:r>
            <w:r w:rsidR="001A7801" w:rsidRPr="004D4906">
              <w:rPr>
                <w:rFonts w:ascii="Arial" w:hAnsi="Arial" w:cs="Arial"/>
                <w:sz w:val="20"/>
                <w:szCs w:val="20"/>
              </w:rPr>
              <w:t>Series A Shares</w:t>
            </w:r>
            <w:r w:rsidR="00F1153C" w:rsidRPr="004D4906">
              <w:rPr>
                <w:rFonts w:ascii="Arial" w:hAnsi="Arial" w:cs="Arial"/>
                <w:sz w:val="20"/>
                <w:szCs w:val="20"/>
              </w:rPr>
              <w:t xml:space="preserve"> </w:t>
            </w:r>
            <w:r w:rsidRPr="004D4906">
              <w:rPr>
                <w:rFonts w:ascii="Arial" w:hAnsi="Arial" w:cs="Arial"/>
                <w:sz w:val="20"/>
                <w:szCs w:val="20"/>
              </w:rPr>
              <w:t xml:space="preserve">issued in the transaction </w:t>
            </w:r>
            <w:r w:rsidR="00C44739">
              <w:rPr>
                <w:rFonts w:ascii="Arial" w:hAnsi="Arial" w:cs="Arial"/>
                <w:sz w:val="20"/>
                <w:szCs w:val="20"/>
              </w:rPr>
              <w:t>remain issued</w:t>
            </w:r>
            <w:r w:rsidRPr="004D4906">
              <w:rPr>
                <w:rFonts w:ascii="Arial" w:hAnsi="Arial" w:cs="Arial"/>
                <w:sz w:val="20"/>
                <w:szCs w:val="20"/>
              </w:rPr>
              <w:t>, in addition to any other vote or approval required under the Company’s Memorandum of Incorporation, the Company will not</w:t>
            </w:r>
            <w:r w:rsidR="00F1153C" w:rsidRPr="004D4906">
              <w:rPr>
                <w:rFonts w:ascii="Arial" w:hAnsi="Arial" w:cs="Arial"/>
                <w:sz w:val="20"/>
                <w:szCs w:val="20"/>
              </w:rPr>
              <w:t xml:space="preserve"> engage in, agree to perform or undertake any action relating to any matter set-out below</w:t>
            </w:r>
            <w:r w:rsidRPr="004D4906">
              <w:rPr>
                <w:rFonts w:ascii="Arial" w:hAnsi="Arial" w:cs="Arial"/>
                <w:sz w:val="20"/>
                <w:szCs w:val="20"/>
              </w:rPr>
              <w:t xml:space="preserve">, without the written consent of the Investor Majority, either directly or by amendment, merger, consolidation, recapitalization, reclassification, or otherwise: </w:t>
            </w:r>
          </w:p>
          <w:p w14:paraId="3AA84342" w14:textId="5B1F56D8" w:rsidR="006C7F39" w:rsidRPr="004D4906" w:rsidRDefault="000D4D65" w:rsidP="006C7F39">
            <w:pPr>
              <w:pStyle w:val="TableText"/>
              <w:numPr>
                <w:ilvl w:val="0"/>
                <w:numId w:val="11"/>
              </w:numPr>
              <w:rPr>
                <w:rFonts w:ascii="Arial" w:hAnsi="Arial" w:cs="Arial"/>
                <w:sz w:val="20"/>
                <w:szCs w:val="20"/>
              </w:rPr>
            </w:pPr>
            <w:r w:rsidRPr="004D4906">
              <w:rPr>
                <w:rFonts w:ascii="Arial" w:hAnsi="Arial" w:cs="Arial"/>
                <w:sz w:val="20"/>
                <w:szCs w:val="20"/>
              </w:rPr>
              <w:t>liquidate, dissolve or wind</w:t>
            </w:r>
            <w:r w:rsidRPr="004D4906">
              <w:rPr>
                <w:rFonts w:ascii="Arial" w:hAnsi="Arial" w:cs="Arial"/>
                <w:sz w:val="20"/>
                <w:szCs w:val="20"/>
              </w:rPr>
              <w:noBreakHyphen/>
              <w:t xml:space="preserve">up the affairs of the Company or effect any </w:t>
            </w:r>
            <w:r w:rsidR="00745410" w:rsidRPr="004D4906">
              <w:rPr>
                <w:rFonts w:ascii="Arial" w:hAnsi="Arial" w:cs="Arial"/>
                <w:sz w:val="20"/>
                <w:szCs w:val="20"/>
              </w:rPr>
              <w:t>Liquidity</w:t>
            </w:r>
            <w:r w:rsidRPr="004D4906">
              <w:rPr>
                <w:rFonts w:ascii="Arial" w:hAnsi="Arial" w:cs="Arial"/>
                <w:sz w:val="20"/>
                <w:szCs w:val="20"/>
              </w:rPr>
              <w:t xml:space="preserve"> Event; </w:t>
            </w:r>
          </w:p>
          <w:p w14:paraId="43B95FF6" w14:textId="4B1E0ECD" w:rsidR="006C7F39" w:rsidRPr="004D4906" w:rsidRDefault="000D4D65" w:rsidP="006C7F39">
            <w:pPr>
              <w:pStyle w:val="TableText"/>
              <w:numPr>
                <w:ilvl w:val="0"/>
                <w:numId w:val="11"/>
              </w:numPr>
              <w:rPr>
                <w:rFonts w:ascii="Arial" w:hAnsi="Arial" w:cs="Arial"/>
                <w:sz w:val="20"/>
                <w:szCs w:val="20"/>
              </w:rPr>
            </w:pPr>
            <w:r w:rsidRPr="004D4906">
              <w:rPr>
                <w:rFonts w:ascii="Arial" w:hAnsi="Arial" w:cs="Arial"/>
                <w:sz w:val="20"/>
                <w:szCs w:val="20"/>
              </w:rPr>
              <w:t>amend, alter, or repeal any provision of the Memorandum of Incorporation [in a manner adverse to the Series A Share</w:t>
            </w:r>
            <w:r w:rsidR="006C0960">
              <w:rPr>
                <w:rFonts w:ascii="Arial" w:hAnsi="Arial" w:cs="Arial"/>
                <w:sz w:val="20"/>
                <w:szCs w:val="20"/>
              </w:rPr>
              <w:t>s</w:t>
            </w:r>
            <w:r w:rsidRPr="004D4906">
              <w:rPr>
                <w:rFonts w:ascii="Arial" w:hAnsi="Arial" w:cs="Arial"/>
                <w:sz w:val="20"/>
                <w:szCs w:val="20"/>
              </w:rPr>
              <w:t>];</w:t>
            </w:r>
            <w:r w:rsidRPr="004D4906">
              <w:rPr>
                <w:rFonts w:ascii="Arial" w:hAnsi="Arial" w:cs="Arial"/>
                <w:sz w:val="20"/>
                <w:szCs w:val="20"/>
                <w:vertAlign w:val="superscript"/>
              </w:rPr>
              <w:t xml:space="preserve"> </w:t>
            </w:r>
          </w:p>
          <w:p w14:paraId="36855D45" w14:textId="6441C607" w:rsidR="006C7F39" w:rsidRPr="004D4906" w:rsidRDefault="000D4D65" w:rsidP="006C7F39">
            <w:pPr>
              <w:pStyle w:val="TableText"/>
              <w:numPr>
                <w:ilvl w:val="0"/>
                <w:numId w:val="11"/>
              </w:numPr>
              <w:rPr>
                <w:rFonts w:ascii="Arial" w:hAnsi="Arial" w:cs="Arial"/>
                <w:sz w:val="20"/>
                <w:szCs w:val="20"/>
              </w:rPr>
            </w:pPr>
            <w:r w:rsidRPr="004D4906">
              <w:rPr>
                <w:rFonts w:ascii="Arial" w:hAnsi="Arial" w:cs="Arial"/>
                <w:sz w:val="20"/>
                <w:szCs w:val="20"/>
              </w:rPr>
              <w:t xml:space="preserve">create or authorize the creation of or issue any </w:t>
            </w:r>
            <w:r w:rsidR="00FB5138" w:rsidRPr="004D4906">
              <w:rPr>
                <w:rFonts w:ascii="Arial" w:hAnsi="Arial" w:cs="Arial"/>
                <w:sz w:val="20"/>
                <w:szCs w:val="20"/>
              </w:rPr>
              <w:t xml:space="preserve">security (including any </w:t>
            </w:r>
            <w:r w:rsidRPr="004D4906">
              <w:rPr>
                <w:rFonts w:ascii="Arial" w:hAnsi="Arial" w:cs="Arial"/>
                <w:sz w:val="20"/>
                <w:szCs w:val="20"/>
              </w:rPr>
              <w:t xml:space="preserve">security convertible into or exercisable for any </w:t>
            </w:r>
            <w:r w:rsidR="00AC25D1" w:rsidRPr="004D4906">
              <w:rPr>
                <w:rFonts w:ascii="Arial" w:hAnsi="Arial" w:cs="Arial"/>
                <w:sz w:val="20"/>
                <w:szCs w:val="20"/>
              </w:rPr>
              <w:t xml:space="preserve">Share </w:t>
            </w:r>
            <w:r w:rsidR="00FB5138" w:rsidRPr="004D4906">
              <w:rPr>
                <w:rFonts w:ascii="Arial" w:hAnsi="Arial" w:cs="Arial"/>
                <w:sz w:val="20"/>
                <w:szCs w:val="20"/>
              </w:rPr>
              <w:t>in the Company)</w:t>
            </w:r>
            <w:r w:rsidRPr="004D4906">
              <w:rPr>
                <w:rFonts w:ascii="Arial" w:hAnsi="Arial" w:cs="Arial"/>
                <w:sz w:val="20"/>
                <w:szCs w:val="20"/>
              </w:rPr>
              <w:t xml:space="preserve"> unless the same ranks junior to the </w:t>
            </w:r>
            <w:r w:rsidR="001A7801" w:rsidRPr="004D4906">
              <w:rPr>
                <w:rFonts w:ascii="Arial" w:hAnsi="Arial" w:cs="Arial"/>
                <w:sz w:val="20"/>
                <w:szCs w:val="20"/>
              </w:rPr>
              <w:t>Series A Shares</w:t>
            </w:r>
            <w:r w:rsidR="00FB5138" w:rsidRPr="004D4906">
              <w:rPr>
                <w:rFonts w:ascii="Arial" w:hAnsi="Arial" w:cs="Arial"/>
                <w:sz w:val="20"/>
                <w:szCs w:val="20"/>
              </w:rPr>
              <w:t xml:space="preserve"> </w:t>
            </w:r>
            <w:r w:rsidRPr="004D4906">
              <w:rPr>
                <w:rFonts w:ascii="Arial" w:hAnsi="Arial" w:cs="Arial"/>
                <w:sz w:val="20"/>
                <w:szCs w:val="20"/>
              </w:rPr>
              <w:t xml:space="preserve">with respect to its rights, preferences and privileges, or increase the authorized number of </w:t>
            </w:r>
            <w:r w:rsidR="001A7801" w:rsidRPr="004D4906">
              <w:rPr>
                <w:rFonts w:ascii="Arial" w:hAnsi="Arial" w:cs="Arial"/>
                <w:sz w:val="20"/>
                <w:szCs w:val="20"/>
              </w:rPr>
              <w:t>Series A Shares</w:t>
            </w:r>
            <w:r w:rsidRPr="004D4906">
              <w:rPr>
                <w:rFonts w:ascii="Arial" w:hAnsi="Arial" w:cs="Arial"/>
                <w:sz w:val="20"/>
                <w:szCs w:val="20"/>
              </w:rPr>
              <w:t xml:space="preserve">; </w:t>
            </w:r>
          </w:p>
          <w:p w14:paraId="0C05F09D" w14:textId="77777777" w:rsidR="006C7F39" w:rsidRPr="004D4906" w:rsidRDefault="000D4D65" w:rsidP="006C7F39">
            <w:pPr>
              <w:pStyle w:val="TableText"/>
              <w:numPr>
                <w:ilvl w:val="0"/>
                <w:numId w:val="11"/>
              </w:numPr>
              <w:rPr>
                <w:rFonts w:ascii="Arial" w:hAnsi="Arial" w:cs="Arial"/>
                <w:sz w:val="20"/>
                <w:szCs w:val="20"/>
              </w:rPr>
            </w:pPr>
            <w:r w:rsidRPr="004D4906">
              <w:rPr>
                <w:rFonts w:ascii="Arial" w:hAnsi="Arial" w:cs="Arial"/>
                <w:sz w:val="20"/>
                <w:szCs w:val="20"/>
              </w:rPr>
              <w:t xml:space="preserve">sell, issue, sponsor, create or distribute any digital tokens, cryptocurrency or other blockchain-based assets without approval of the Board of Directors[, including the Investor Directors]; </w:t>
            </w:r>
          </w:p>
          <w:p w14:paraId="2C27B346" w14:textId="2CB1282C" w:rsidR="006C7F39" w:rsidRPr="004D4906" w:rsidRDefault="000D4D65" w:rsidP="004D4906">
            <w:pPr>
              <w:pStyle w:val="TableText"/>
              <w:numPr>
                <w:ilvl w:val="0"/>
                <w:numId w:val="11"/>
              </w:numPr>
              <w:jc w:val="left"/>
              <w:rPr>
                <w:rFonts w:ascii="Arial" w:hAnsi="Arial" w:cs="Arial"/>
                <w:sz w:val="20"/>
                <w:szCs w:val="20"/>
              </w:rPr>
            </w:pPr>
            <w:r w:rsidRPr="004D4906">
              <w:rPr>
                <w:rFonts w:ascii="Arial" w:hAnsi="Arial" w:cs="Arial"/>
                <w:sz w:val="20"/>
                <w:szCs w:val="20"/>
              </w:rPr>
              <w:t xml:space="preserve">purchase or redeem or pay any dividend on any Share prior to the </w:t>
            </w:r>
            <w:r w:rsidR="001A7801" w:rsidRPr="004D4906">
              <w:rPr>
                <w:rFonts w:ascii="Arial" w:hAnsi="Arial" w:cs="Arial"/>
                <w:sz w:val="20"/>
                <w:szCs w:val="20"/>
              </w:rPr>
              <w:t>Series A Shares</w:t>
            </w:r>
            <w:r w:rsidRPr="004D4906">
              <w:rPr>
                <w:rFonts w:ascii="Arial" w:hAnsi="Arial" w:cs="Arial"/>
                <w:sz w:val="20"/>
                <w:szCs w:val="20"/>
              </w:rPr>
              <w:t xml:space="preserve">, other than </w:t>
            </w:r>
            <w:r w:rsidR="00AC25D1" w:rsidRPr="004D4906">
              <w:rPr>
                <w:rFonts w:ascii="Arial" w:hAnsi="Arial" w:cs="Arial"/>
                <w:sz w:val="20"/>
                <w:szCs w:val="20"/>
              </w:rPr>
              <w:t xml:space="preserve">Shares </w:t>
            </w:r>
            <w:r w:rsidRPr="004D4906">
              <w:rPr>
                <w:rFonts w:ascii="Arial" w:hAnsi="Arial" w:cs="Arial"/>
                <w:sz w:val="20"/>
                <w:szCs w:val="20"/>
              </w:rPr>
              <w:t xml:space="preserve">repurchased at cost from former employees and consultants in connection with the cessation of their service, [or as otherwise approved by the Board of Directors[, including the approval of [at least one] </w:t>
            </w:r>
            <w:r w:rsidR="00C44739">
              <w:rPr>
                <w:rFonts w:ascii="Arial" w:hAnsi="Arial" w:cs="Arial"/>
                <w:sz w:val="20"/>
                <w:szCs w:val="20"/>
              </w:rPr>
              <w:t>Preference</w:t>
            </w:r>
            <w:r w:rsidRPr="004D4906">
              <w:rPr>
                <w:rFonts w:ascii="Arial" w:hAnsi="Arial" w:cs="Arial"/>
                <w:sz w:val="20"/>
                <w:szCs w:val="20"/>
              </w:rPr>
              <w:t xml:space="preserve"> Director]; or </w:t>
            </w:r>
          </w:p>
          <w:p w14:paraId="408C68E5" w14:textId="003B58A5" w:rsidR="006C7F39" w:rsidRPr="004D4906" w:rsidRDefault="000D4D65" w:rsidP="006C7F39">
            <w:pPr>
              <w:pStyle w:val="TableText"/>
              <w:numPr>
                <w:ilvl w:val="0"/>
                <w:numId w:val="11"/>
              </w:numPr>
              <w:rPr>
                <w:rFonts w:ascii="Arial" w:hAnsi="Arial" w:cs="Arial"/>
                <w:sz w:val="20"/>
                <w:szCs w:val="20"/>
              </w:rPr>
            </w:pPr>
            <w:r w:rsidRPr="004D4906">
              <w:rPr>
                <w:rFonts w:ascii="Arial" w:hAnsi="Arial" w:cs="Arial"/>
                <w:sz w:val="20"/>
                <w:szCs w:val="20"/>
              </w:rPr>
              <w:t xml:space="preserve">adopt, amend, terminate or repeal any equity (or equity-linked) compensation plan or amend or waive any of the terms of any option or other grant pursuant to any such plan; </w:t>
            </w:r>
          </w:p>
          <w:p w14:paraId="028C9201" w14:textId="48159A61" w:rsidR="006C7F39" w:rsidRPr="004D4906" w:rsidRDefault="000D4D65" w:rsidP="006C7F39">
            <w:pPr>
              <w:pStyle w:val="TableText"/>
              <w:numPr>
                <w:ilvl w:val="0"/>
                <w:numId w:val="11"/>
              </w:numPr>
              <w:rPr>
                <w:rFonts w:ascii="Arial" w:hAnsi="Arial" w:cs="Arial"/>
                <w:sz w:val="20"/>
                <w:szCs w:val="20"/>
              </w:rPr>
            </w:pPr>
            <w:r w:rsidRPr="004D4906">
              <w:rPr>
                <w:rFonts w:ascii="Arial" w:hAnsi="Arial" w:cs="Arial"/>
                <w:sz w:val="20"/>
                <w:szCs w:val="20"/>
              </w:rPr>
              <w:t xml:space="preserve">create or authorize the creation of any debt security[, if the aggregate indebtedness of the </w:t>
            </w:r>
            <w:r w:rsidR="00D5180D" w:rsidRPr="004D4906">
              <w:rPr>
                <w:rFonts w:ascii="Arial" w:hAnsi="Arial" w:cs="Arial"/>
                <w:sz w:val="20"/>
                <w:szCs w:val="20"/>
              </w:rPr>
              <w:t xml:space="preserve">Company </w:t>
            </w:r>
            <w:r w:rsidRPr="004D4906">
              <w:rPr>
                <w:rFonts w:ascii="Arial" w:hAnsi="Arial" w:cs="Arial"/>
                <w:sz w:val="20"/>
                <w:szCs w:val="20"/>
              </w:rPr>
              <w:t xml:space="preserve">and its subsidiaries for borrowed money following such action would exceed </w:t>
            </w:r>
            <w:r w:rsidR="0098572D" w:rsidRPr="004A6DDB">
              <w:rPr>
                <w:rFonts w:ascii="Arial" w:hAnsi="Arial" w:cs="Arial"/>
                <w:sz w:val="20"/>
                <w:szCs w:val="20"/>
              </w:rPr>
              <w:t>[R[●] ([●])</w:t>
            </w:r>
            <w:r w:rsidR="0098572D" w:rsidRPr="004D4906">
              <w:rPr>
                <w:rFonts w:ascii="Arial" w:hAnsi="Arial" w:cs="Arial"/>
                <w:sz w:val="20"/>
                <w:szCs w:val="20"/>
              </w:rPr>
              <w:t>]</w:t>
            </w:r>
            <w:r w:rsidR="004A6DDB" w:rsidRPr="004A6DDB">
              <w:rPr>
                <w:rFonts w:ascii="Arial" w:hAnsi="Arial" w:cs="Arial"/>
                <w:sz w:val="20"/>
                <w:szCs w:val="20"/>
              </w:rPr>
              <w:t xml:space="preserve"> </w:t>
            </w:r>
            <w:r w:rsidRPr="004D4906">
              <w:rPr>
                <w:rFonts w:ascii="Arial" w:hAnsi="Arial" w:cs="Arial"/>
                <w:sz w:val="20"/>
                <w:szCs w:val="20"/>
              </w:rPr>
              <w:t xml:space="preserve">[other than equipment leases, bank lines of credit or trade payables incurred in the ordinary course] [unless such debt security has received the prior approval of the Board of Directors, </w:t>
            </w:r>
            <w:r w:rsidRPr="004D4906">
              <w:rPr>
                <w:rFonts w:ascii="Arial" w:hAnsi="Arial" w:cs="Arial"/>
                <w:sz w:val="20"/>
                <w:szCs w:val="20"/>
              </w:rPr>
              <w:lastRenderedPageBreak/>
              <w:t xml:space="preserve">including the approval of [at least one] </w:t>
            </w:r>
            <w:r w:rsidR="00C44739">
              <w:rPr>
                <w:rFonts w:ascii="Arial" w:hAnsi="Arial" w:cs="Arial"/>
                <w:sz w:val="20"/>
                <w:szCs w:val="20"/>
              </w:rPr>
              <w:t>Preference</w:t>
            </w:r>
            <w:r w:rsidRPr="004D4906">
              <w:rPr>
                <w:rFonts w:ascii="Arial" w:hAnsi="Arial" w:cs="Arial"/>
                <w:sz w:val="20"/>
                <w:szCs w:val="20"/>
              </w:rPr>
              <w:t xml:space="preserve"> Director;</w:t>
            </w:r>
          </w:p>
          <w:p w14:paraId="3B4FCCF2" w14:textId="26DC18FE" w:rsidR="006C7F39" w:rsidRPr="004D4906" w:rsidRDefault="000D4D65" w:rsidP="006C7F39">
            <w:pPr>
              <w:pStyle w:val="TableText"/>
              <w:numPr>
                <w:ilvl w:val="0"/>
                <w:numId w:val="11"/>
              </w:numPr>
              <w:rPr>
                <w:rFonts w:ascii="Arial" w:hAnsi="Arial" w:cs="Arial"/>
                <w:sz w:val="20"/>
                <w:szCs w:val="20"/>
              </w:rPr>
            </w:pPr>
            <w:r w:rsidRPr="004D4906">
              <w:rPr>
                <w:rFonts w:ascii="Arial" w:hAnsi="Arial" w:cs="Arial"/>
                <w:sz w:val="20"/>
                <w:szCs w:val="20"/>
              </w:rPr>
              <w:t xml:space="preserve">create or hold </w:t>
            </w:r>
            <w:r w:rsidR="00D5180D" w:rsidRPr="004D4906">
              <w:rPr>
                <w:rFonts w:ascii="Arial" w:hAnsi="Arial" w:cs="Arial"/>
                <w:sz w:val="20"/>
                <w:szCs w:val="20"/>
              </w:rPr>
              <w:t xml:space="preserve">shares in </w:t>
            </w:r>
            <w:r w:rsidRPr="004D4906">
              <w:rPr>
                <w:rFonts w:ascii="Arial" w:hAnsi="Arial" w:cs="Arial"/>
                <w:sz w:val="20"/>
                <w:szCs w:val="20"/>
              </w:rPr>
              <w:t xml:space="preserve">in any subsidiary that is not wholly-owned, or dispose of any </w:t>
            </w:r>
            <w:r w:rsidR="00D5180D" w:rsidRPr="004D4906">
              <w:rPr>
                <w:rFonts w:ascii="Arial" w:hAnsi="Arial" w:cs="Arial"/>
                <w:sz w:val="20"/>
                <w:szCs w:val="20"/>
              </w:rPr>
              <w:t xml:space="preserve">shares in a </w:t>
            </w:r>
            <w:r w:rsidRPr="004D4906">
              <w:rPr>
                <w:rFonts w:ascii="Arial" w:hAnsi="Arial" w:cs="Arial"/>
                <w:sz w:val="20"/>
                <w:szCs w:val="20"/>
              </w:rPr>
              <w:t>subsidiary or all or substantially all of any subsidiary</w:t>
            </w:r>
            <w:r w:rsidR="00D5180D" w:rsidRPr="004D4906">
              <w:rPr>
                <w:rFonts w:ascii="Arial" w:hAnsi="Arial" w:cs="Arial"/>
                <w:sz w:val="20"/>
                <w:szCs w:val="20"/>
              </w:rPr>
              <w:t>’s</w:t>
            </w:r>
            <w:r w:rsidRPr="004D4906">
              <w:rPr>
                <w:rFonts w:ascii="Arial" w:hAnsi="Arial" w:cs="Arial"/>
                <w:sz w:val="20"/>
                <w:szCs w:val="20"/>
              </w:rPr>
              <w:t xml:space="preserve"> assets; </w:t>
            </w:r>
          </w:p>
          <w:p w14:paraId="089034E0" w14:textId="77777777" w:rsidR="00CE6D3B" w:rsidRPr="004D4906" w:rsidRDefault="000D4D65" w:rsidP="006C7F39">
            <w:pPr>
              <w:pStyle w:val="TableText"/>
              <w:numPr>
                <w:ilvl w:val="0"/>
                <w:numId w:val="11"/>
              </w:numPr>
              <w:rPr>
                <w:rFonts w:ascii="Arial" w:hAnsi="Arial" w:cs="Arial"/>
                <w:sz w:val="20"/>
                <w:szCs w:val="20"/>
              </w:rPr>
            </w:pPr>
            <w:r w:rsidRPr="004D4906">
              <w:rPr>
                <w:rFonts w:ascii="Arial" w:hAnsi="Arial" w:cs="Arial"/>
                <w:sz w:val="20"/>
                <w:szCs w:val="20"/>
              </w:rPr>
              <w:t>increase or decrease the authorized number of directors constituting the Board of Directors or change the number of votes entitled to be cast by any director or directors on any matter</w:t>
            </w:r>
            <w:r w:rsidR="00CE6D3B" w:rsidRPr="004D4906">
              <w:rPr>
                <w:rFonts w:ascii="Arial" w:hAnsi="Arial" w:cs="Arial"/>
                <w:sz w:val="20"/>
                <w:szCs w:val="20"/>
              </w:rPr>
              <w:t xml:space="preserve">; </w:t>
            </w:r>
          </w:p>
          <w:p w14:paraId="7A36C3B3" w14:textId="77777777" w:rsidR="00CE6D3B" w:rsidRPr="004D4906" w:rsidRDefault="00CE6D3B" w:rsidP="00CE6D3B">
            <w:pPr>
              <w:pStyle w:val="TableText"/>
              <w:numPr>
                <w:ilvl w:val="0"/>
                <w:numId w:val="11"/>
              </w:numPr>
              <w:rPr>
                <w:rFonts w:ascii="Arial" w:hAnsi="Arial" w:cs="Arial"/>
                <w:sz w:val="20"/>
                <w:szCs w:val="20"/>
              </w:rPr>
            </w:pPr>
            <w:r w:rsidRPr="004D4906">
              <w:rPr>
                <w:rFonts w:ascii="Arial" w:hAnsi="Arial" w:cs="Arial"/>
                <w:sz w:val="20"/>
                <w:szCs w:val="20"/>
              </w:rPr>
              <w:t xml:space="preserve">appointment, removal and replacement of the Company's auditors; </w:t>
            </w:r>
          </w:p>
          <w:p w14:paraId="3FCB6B57" w14:textId="2F2A8080" w:rsidR="000D4D65" w:rsidRPr="004D4906" w:rsidRDefault="00CE6D3B" w:rsidP="00CE6D3B">
            <w:pPr>
              <w:pStyle w:val="TableText"/>
              <w:numPr>
                <w:ilvl w:val="0"/>
                <w:numId w:val="11"/>
              </w:numPr>
              <w:rPr>
                <w:rFonts w:ascii="Arial" w:hAnsi="Arial" w:cs="Arial"/>
                <w:sz w:val="20"/>
                <w:szCs w:val="20"/>
              </w:rPr>
            </w:pPr>
            <w:r w:rsidRPr="004D4906">
              <w:rPr>
                <w:rFonts w:ascii="Arial" w:hAnsi="Arial" w:cs="Arial"/>
                <w:sz w:val="20"/>
                <w:szCs w:val="20"/>
              </w:rPr>
              <w:t>change the principal business of the Company, enter new lines of business, or exit the current line of business</w:t>
            </w:r>
            <w:r w:rsidR="000D4D65" w:rsidRPr="004D4906">
              <w:rPr>
                <w:rFonts w:ascii="Arial" w:hAnsi="Arial" w:cs="Arial"/>
                <w:sz w:val="20"/>
                <w:szCs w:val="20"/>
              </w:rPr>
              <w:t>.</w:t>
            </w:r>
          </w:p>
        </w:tc>
      </w:tr>
    </w:tbl>
    <w:p w14:paraId="778D4810" w14:textId="62A70230" w:rsidR="000D4D65" w:rsidRPr="004D4906" w:rsidRDefault="00F1153C" w:rsidP="004D4906">
      <w:pPr>
        <w:jc w:val="center"/>
        <w:rPr>
          <w:rFonts w:ascii="Arial" w:eastAsia="Arial" w:hAnsi="Arial" w:cs="Arial"/>
          <w:b/>
          <w:bCs/>
        </w:rPr>
      </w:pPr>
      <w:r w:rsidRPr="004D4906">
        <w:rPr>
          <w:rFonts w:ascii="Arial" w:eastAsia="Arial" w:hAnsi="Arial" w:cs="Arial"/>
          <w:b/>
          <w:bCs/>
        </w:rPr>
        <w:lastRenderedPageBreak/>
        <w:t>PART 2:</w:t>
      </w:r>
    </w:p>
    <w:p w14:paraId="2FEC7F10" w14:textId="77777777" w:rsidR="00F1153C" w:rsidRPr="004D4906" w:rsidRDefault="00F1153C" w:rsidP="004146A9">
      <w:pPr>
        <w:rPr>
          <w:rFonts w:ascii="Arial" w:eastAsia="Arial" w:hAnsi="Arial" w:cs="Arial"/>
          <w:sz w:val="20"/>
          <w:szCs w:val="20"/>
        </w:rPr>
      </w:pPr>
    </w:p>
    <w:tbl>
      <w:tblPr>
        <w:tblW w:w="5000" w:type="pct"/>
        <w:tblLook w:val="0000" w:firstRow="0" w:lastRow="0" w:firstColumn="0" w:lastColumn="0" w:noHBand="0" w:noVBand="0"/>
      </w:tblPr>
      <w:tblGrid>
        <w:gridCol w:w="3763"/>
        <w:gridCol w:w="5597"/>
      </w:tblGrid>
      <w:tr w:rsidR="000D4D65" w:rsidRPr="004D4906" w14:paraId="6EDAF215" w14:textId="77777777" w:rsidTr="009364E9">
        <w:tc>
          <w:tcPr>
            <w:tcW w:w="2010" w:type="pct"/>
            <w:tcBorders>
              <w:top w:val="nil"/>
              <w:left w:val="nil"/>
              <w:bottom w:val="nil"/>
              <w:right w:val="nil"/>
            </w:tcBorders>
          </w:tcPr>
          <w:p w14:paraId="3C176487" w14:textId="7FD068DB" w:rsidR="000D4D65" w:rsidRPr="004D4906" w:rsidRDefault="000D4D65" w:rsidP="009364E9">
            <w:pPr>
              <w:pStyle w:val="TableItalics"/>
              <w:rPr>
                <w:rFonts w:ascii="Arial" w:hAnsi="Arial" w:cs="Arial"/>
                <w:b/>
                <w:bCs/>
                <w:sz w:val="20"/>
                <w:szCs w:val="20"/>
              </w:rPr>
            </w:pPr>
            <w:r w:rsidRPr="004D4906">
              <w:rPr>
                <w:rFonts w:ascii="Arial" w:hAnsi="Arial" w:cs="Arial"/>
                <w:sz w:val="20"/>
                <w:szCs w:val="20"/>
              </w:rPr>
              <w:t xml:space="preserve">[Matters Requiring </w:t>
            </w:r>
            <w:r w:rsidR="00C44739">
              <w:rPr>
                <w:rFonts w:ascii="Arial" w:hAnsi="Arial" w:cs="Arial"/>
                <w:sz w:val="20"/>
                <w:szCs w:val="20"/>
              </w:rPr>
              <w:t>Preference</w:t>
            </w:r>
            <w:r w:rsidRPr="004D4906">
              <w:rPr>
                <w:rFonts w:ascii="Arial" w:hAnsi="Arial" w:cs="Arial"/>
                <w:sz w:val="20"/>
                <w:szCs w:val="20"/>
              </w:rPr>
              <w:t xml:space="preserve"> Director Approval:</w:t>
            </w:r>
          </w:p>
        </w:tc>
        <w:tc>
          <w:tcPr>
            <w:tcW w:w="2990" w:type="pct"/>
            <w:tcBorders>
              <w:top w:val="nil"/>
              <w:left w:val="nil"/>
              <w:bottom w:val="nil"/>
              <w:right w:val="nil"/>
            </w:tcBorders>
          </w:tcPr>
          <w:p w14:paraId="4DED0E39" w14:textId="79538FCB" w:rsidR="006C7F39" w:rsidRPr="004D4906" w:rsidRDefault="000D4D65" w:rsidP="009364E9">
            <w:pPr>
              <w:pStyle w:val="TableText"/>
              <w:rPr>
                <w:rFonts w:ascii="Arial" w:hAnsi="Arial" w:cs="Arial"/>
                <w:sz w:val="20"/>
                <w:szCs w:val="20"/>
              </w:rPr>
            </w:pPr>
            <w:r w:rsidRPr="004D4906">
              <w:rPr>
                <w:rFonts w:ascii="Arial" w:hAnsi="Arial" w:cs="Arial"/>
                <w:sz w:val="20"/>
                <w:szCs w:val="20"/>
              </w:rPr>
              <w:t xml:space="preserve">So long as the holders of </w:t>
            </w:r>
            <w:r w:rsidR="001A7801" w:rsidRPr="004D4906">
              <w:rPr>
                <w:rFonts w:ascii="Arial" w:hAnsi="Arial" w:cs="Arial"/>
                <w:sz w:val="20"/>
                <w:szCs w:val="20"/>
              </w:rPr>
              <w:t>Series A Shares</w:t>
            </w:r>
            <w:r w:rsidR="00F1153C" w:rsidRPr="004D4906">
              <w:rPr>
                <w:rFonts w:ascii="Arial" w:hAnsi="Arial" w:cs="Arial"/>
                <w:sz w:val="20"/>
                <w:szCs w:val="20"/>
              </w:rPr>
              <w:t xml:space="preserve"> </w:t>
            </w:r>
            <w:r w:rsidRPr="004D4906">
              <w:rPr>
                <w:rFonts w:ascii="Arial" w:hAnsi="Arial" w:cs="Arial"/>
                <w:sz w:val="20"/>
                <w:szCs w:val="20"/>
              </w:rPr>
              <w:t>are entitled to elect a Director, the Company will not</w:t>
            </w:r>
            <w:r w:rsidR="00F1153C" w:rsidRPr="004D4906">
              <w:rPr>
                <w:rFonts w:ascii="Arial" w:hAnsi="Arial" w:cs="Arial"/>
                <w:sz w:val="20"/>
                <w:szCs w:val="20"/>
              </w:rPr>
              <w:t xml:space="preserve"> engage in, agree to perform or undertake any action relating to any matter set-out below</w:t>
            </w:r>
            <w:r w:rsidRPr="004D4906">
              <w:rPr>
                <w:rFonts w:ascii="Arial" w:hAnsi="Arial" w:cs="Arial"/>
                <w:sz w:val="20"/>
                <w:szCs w:val="20"/>
              </w:rPr>
              <w:t xml:space="preserve">, without Board approval, which approval must include the affirmative vote of [at least one/each of] the then-seated </w:t>
            </w:r>
            <w:r w:rsidR="00C44739">
              <w:rPr>
                <w:rFonts w:ascii="Arial" w:hAnsi="Arial" w:cs="Arial"/>
                <w:sz w:val="20"/>
                <w:szCs w:val="20"/>
              </w:rPr>
              <w:t>Preference</w:t>
            </w:r>
            <w:r w:rsidRPr="004D4906">
              <w:rPr>
                <w:rFonts w:ascii="Arial" w:hAnsi="Arial" w:cs="Arial"/>
                <w:sz w:val="20"/>
                <w:szCs w:val="20"/>
              </w:rPr>
              <w:t xml:space="preserve"> Directors: </w:t>
            </w:r>
          </w:p>
          <w:p w14:paraId="65C04E3A" w14:textId="1BA34DDE" w:rsidR="006C7F39" w:rsidRPr="004D4906" w:rsidRDefault="000D4D65" w:rsidP="001D1564">
            <w:pPr>
              <w:pStyle w:val="TableText"/>
              <w:numPr>
                <w:ilvl w:val="0"/>
                <w:numId w:val="12"/>
              </w:numPr>
              <w:rPr>
                <w:rFonts w:ascii="Arial" w:hAnsi="Arial" w:cs="Arial"/>
                <w:sz w:val="20"/>
                <w:szCs w:val="20"/>
              </w:rPr>
            </w:pPr>
            <w:r w:rsidRPr="004D4906">
              <w:rPr>
                <w:rFonts w:ascii="Arial" w:hAnsi="Arial" w:cs="Arial"/>
                <w:sz w:val="20"/>
                <w:szCs w:val="20"/>
              </w:rPr>
              <w:t xml:space="preserve">make any loan or advance to, or own any </w:t>
            </w:r>
            <w:r w:rsidR="00AC25D1" w:rsidRPr="004D4906">
              <w:rPr>
                <w:rFonts w:ascii="Arial" w:hAnsi="Arial" w:cs="Arial"/>
                <w:sz w:val="20"/>
                <w:szCs w:val="20"/>
              </w:rPr>
              <w:t xml:space="preserve">Shares </w:t>
            </w:r>
            <w:r w:rsidRPr="004D4906">
              <w:rPr>
                <w:rFonts w:ascii="Arial" w:hAnsi="Arial" w:cs="Arial"/>
                <w:sz w:val="20"/>
                <w:szCs w:val="20"/>
              </w:rPr>
              <w:t xml:space="preserve">or other securities of, any subsidiary or other corporation, partnership, or other entity unless it is wholly owned by the Company; </w:t>
            </w:r>
          </w:p>
          <w:p w14:paraId="2BD47E63" w14:textId="5F91B69B" w:rsidR="006C7F39" w:rsidRPr="004D4906" w:rsidRDefault="000D4D65" w:rsidP="006C7F39">
            <w:pPr>
              <w:pStyle w:val="TableText"/>
              <w:numPr>
                <w:ilvl w:val="0"/>
                <w:numId w:val="12"/>
              </w:numPr>
              <w:rPr>
                <w:rFonts w:ascii="Arial" w:hAnsi="Arial" w:cs="Arial"/>
                <w:b/>
                <w:bCs/>
                <w:sz w:val="20"/>
                <w:szCs w:val="20"/>
              </w:rPr>
            </w:pPr>
            <w:r w:rsidRPr="004D4906">
              <w:rPr>
                <w:rFonts w:ascii="Arial" w:hAnsi="Arial" w:cs="Arial"/>
                <w:sz w:val="20"/>
                <w:szCs w:val="20"/>
              </w:rPr>
              <w:t>make any loan or advance to any person, including, any employee or director, except advances and similar expenditures in the ordinary course of business [or under the terms of an employee Share</w:t>
            </w:r>
            <w:r w:rsidR="00AC25D1" w:rsidRPr="004D4906">
              <w:rPr>
                <w:rFonts w:ascii="Arial" w:hAnsi="Arial" w:cs="Arial"/>
                <w:sz w:val="20"/>
                <w:szCs w:val="20"/>
              </w:rPr>
              <w:t>-</w:t>
            </w:r>
            <w:r w:rsidRPr="004D4906">
              <w:rPr>
                <w:rFonts w:ascii="Arial" w:hAnsi="Arial" w:cs="Arial"/>
                <w:sz w:val="20"/>
                <w:szCs w:val="20"/>
              </w:rPr>
              <w:t xml:space="preserve"> or option plan approved by the Board of Directors]; </w:t>
            </w:r>
          </w:p>
          <w:p w14:paraId="766E5E0B" w14:textId="77777777" w:rsidR="006C7F39" w:rsidRPr="004D4906" w:rsidRDefault="000D4D65" w:rsidP="006C7F39">
            <w:pPr>
              <w:pStyle w:val="TableText"/>
              <w:numPr>
                <w:ilvl w:val="0"/>
                <w:numId w:val="12"/>
              </w:numPr>
              <w:rPr>
                <w:rFonts w:ascii="Arial" w:hAnsi="Arial" w:cs="Arial"/>
                <w:b/>
                <w:bCs/>
                <w:sz w:val="20"/>
                <w:szCs w:val="20"/>
              </w:rPr>
            </w:pPr>
            <w:r w:rsidRPr="004D4906">
              <w:rPr>
                <w:rFonts w:ascii="Arial" w:hAnsi="Arial" w:cs="Arial"/>
                <w:sz w:val="20"/>
                <w:szCs w:val="20"/>
              </w:rPr>
              <w:t xml:space="preserve">guarantee any indebtedness except for trade accounts of the Company or any subsidiary arising in the ordinary course of business; </w:t>
            </w:r>
          </w:p>
          <w:p w14:paraId="37D224F6" w14:textId="75E18BBF" w:rsidR="006C7F39" w:rsidRPr="004D4906" w:rsidRDefault="000D4D65" w:rsidP="006C7F39">
            <w:pPr>
              <w:pStyle w:val="TableText"/>
              <w:numPr>
                <w:ilvl w:val="0"/>
                <w:numId w:val="12"/>
              </w:numPr>
              <w:rPr>
                <w:rFonts w:ascii="Arial" w:hAnsi="Arial" w:cs="Arial"/>
                <w:b/>
                <w:bCs/>
                <w:sz w:val="20"/>
                <w:szCs w:val="20"/>
              </w:rPr>
            </w:pPr>
            <w:r w:rsidRPr="004D4906">
              <w:rPr>
                <w:rFonts w:ascii="Arial" w:hAnsi="Arial" w:cs="Arial"/>
                <w:sz w:val="20"/>
                <w:szCs w:val="20"/>
              </w:rPr>
              <w:t xml:space="preserve">make any investment inconsistent with any investment policy approved by the Board of Directors; </w:t>
            </w:r>
          </w:p>
          <w:p w14:paraId="53627154" w14:textId="15C050DD" w:rsidR="006C7F39" w:rsidRPr="004D4906" w:rsidRDefault="000D4D65" w:rsidP="006C7F39">
            <w:pPr>
              <w:pStyle w:val="TableText"/>
              <w:numPr>
                <w:ilvl w:val="0"/>
                <w:numId w:val="12"/>
              </w:numPr>
              <w:rPr>
                <w:rFonts w:ascii="Arial" w:hAnsi="Arial" w:cs="Arial"/>
                <w:b/>
                <w:bCs/>
                <w:sz w:val="20"/>
                <w:szCs w:val="20"/>
              </w:rPr>
            </w:pPr>
            <w:r w:rsidRPr="004D4906">
              <w:rPr>
                <w:rFonts w:ascii="Arial" w:hAnsi="Arial" w:cs="Arial"/>
                <w:sz w:val="20"/>
                <w:szCs w:val="20"/>
              </w:rPr>
              <w:t xml:space="preserve">incur any aggregate indebtedness in excess of </w:t>
            </w:r>
            <w:r w:rsidR="004A6DDB" w:rsidRPr="004A6DDB">
              <w:rPr>
                <w:rFonts w:ascii="Arial" w:hAnsi="Arial" w:cs="Arial"/>
                <w:sz w:val="20"/>
                <w:szCs w:val="20"/>
              </w:rPr>
              <w:t>[●]</w:t>
            </w:r>
            <w:r w:rsidR="004A6DDB">
              <w:rPr>
                <w:rFonts w:ascii="Arial" w:hAnsi="Arial" w:cs="Arial"/>
                <w:sz w:val="20"/>
                <w:szCs w:val="20"/>
              </w:rPr>
              <w:t xml:space="preserve"> </w:t>
            </w:r>
            <w:r w:rsidRPr="004D4906">
              <w:rPr>
                <w:rFonts w:ascii="Arial" w:hAnsi="Arial" w:cs="Arial"/>
                <w:sz w:val="20"/>
                <w:szCs w:val="20"/>
              </w:rPr>
              <w:t>that is not already included in a Board-approved budget, other than trade credit incurred in the ordinary course of business;</w:t>
            </w:r>
          </w:p>
          <w:p w14:paraId="2900C239" w14:textId="0F9AB029" w:rsidR="006C7F39" w:rsidRPr="004D4906" w:rsidRDefault="000D4D65" w:rsidP="006C7F39">
            <w:pPr>
              <w:pStyle w:val="TableText"/>
              <w:numPr>
                <w:ilvl w:val="0"/>
                <w:numId w:val="12"/>
              </w:numPr>
              <w:rPr>
                <w:rFonts w:ascii="Arial" w:hAnsi="Arial" w:cs="Arial"/>
                <w:b/>
                <w:bCs/>
                <w:sz w:val="20"/>
                <w:szCs w:val="20"/>
              </w:rPr>
            </w:pPr>
            <w:r w:rsidRPr="004D4906">
              <w:rPr>
                <w:rFonts w:ascii="Arial" w:hAnsi="Arial" w:cs="Arial"/>
                <w:sz w:val="20"/>
                <w:szCs w:val="20"/>
              </w:rPr>
              <w:lastRenderedPageBreak/>
              <w:t>hire, fire, or change the compensation of the executive officers, including approving any option grants</w:t>
            </w:r>
            <w:r w:rsidR="00F74385">
              <w:rPr>
                <w:rFonts w:ascii="Arial" w:hAnsi="Arial" w:cs="Arial"/>
                <w:sz w:val="20"/>
                <w:szCs w:val="20"/>
              </w:rPr>
              <w:t xml:space="preserve"> </w:t>
            </w:r>
            <w:r w:rsidR="00F74385">
              <w:rPr>
                <w:rStyle w:val="FootnoteReference"/>
                <w:rFonts w:cs="Arial"/>
                <w:szCs w:val="20"/>
              </w:rPr>
              <w:footnoteReference w:id="27"/>
            </w:r>
            <w:r w:rsidRPr="004D4906">
              <w:rPr>
                <w:rFonts w:ascii="Arial" w:hAnsi="Arial" w:cs="Arial"/>
                <w:sz w:val="20"/>
                <w:szCs w:val="20"/>
              </w:rPr>
              <w:t xml:space="preserve">; </w:t>
            </w:r>
          </w:p>
          <w:p w14:paraId="32709DE9" w14:textId="6EC6F6F6" w:rsidR="006C7F39" w:rsidRPr="004D4906" w:rsidRDefault="000D4D65" w:rsidP="006C7F39">
            <w:pPr>
              <w:pStyle w:val="TableText"/>
              <w:numPr>
                <w:ilvl w:val="0"/>
                <w:numId w:val="12"/>
              </w:numPr>
              <w:rPr>
                <w:rFonts w:ascii="Arial" w:hAnsi="Arial" w:cs="Arial"/>
                <w:b/>
                <w:bCs/>
                <w:sz w:val="20"/>
                <w:szCs w:val="20"/>
              </w:rPr>
            </w:pPr>
            <w:r w:rsidRPr="004D4906">
              <w:rPr>
                <w:rFonts w:ascii="Arial" w:hAnsi="Arial" w:cs="Arial"/>
                <w:sz w:val="20"/>
                <w:szCs w:val="20"/>
              </w:rPr>
              <w:t xml:space="preserve">change the principal business of the Company, enter new lines of business, or exit the current line of business; </w:t>
            </w:r>
          </w:p>
          <w:p w14:paraId="08CDED0A" w14:textId="234BC59B" w:rsidR="00EE3475" w:rsidRPr="004D4906" w:rsidRDefault="00EE3475" w:rsidP="006C7F39">
            <w:pPr>
              <w:pStyle w:val="TableText"/>
              <w:numPr>
                <w:ilvl w:val="0"/>
                <w:numId w:val="12"/>
              </w:numPr>
              <w:rPr>
                <w:rFonts w:ascii="Arial" w:hAnsi="Arial" w:cs="Arial"/>
                <w:sz w:val="20"/>
                <w:szCs w:val="20"/>
              </w:rPr>
            </w:pPr>
            <w:r w:rsidRPr="004D4906">
              <w:rPr>
                <w:rFonts w:ascii="Arial" w:hAnsi="Arial" w:cs="Arial"/>
                <w:sz w:val="20"/>
                <w:szCs w:val="20"/>
                <w:lang w:val="en-GB"/>
              </w:rPr>
              <w:t>enter into or be a party to any transaction with any director, officer or employee of the Company or any associate of any such person except transactions made in the ordinary course of business and pursuant to reasonable requirements of the Company’s business and upon fair and reasonable terms that are approved by a majority of the Board;</w:t>
            </w:r>
          </w:p>
          <w:p w14:paraId="4564C052" w14:textId="77777777" w:rsidR="006C7F39" w:rsidRPr="004D4906" w:rsidRDefault="000D4D65" w:rsidP="006C7F39">
            <w:pPr>
              <w:pStyle w:val="TableText"/>
              <w:numPr>
                <w:ilvl w:val="0"/>
                <w:numId w:val="12"/>
              </w:numPr>
              <w:rPr>
                <w:rFonts w:ascii="Arial" w:hAnsi="Arial" w:cs="Arial"/>
                <w:b/>
                <w:bCs/>
                <w:sz w:val="20"/>
                <w:szCs w:val="20"/>
              </w:rPr>
            </w:pPr>
            <w:r w:rsidRPr="004D4906">
              <w:rPr>
                <w:rFonts w:ascii="Arial" w:hAnsi="Arial" w:cs="Arial"/>
                <w:sz w:val="20"/>
                <w:szCs w:val="20"/>
              </w:rPr>
              <w:t xml:space="preserve">sell, assign, license, pledge or encumber material technology or intellectual property, other than licenses granted in the ordinary course of business; or </w:t>
            </w:r>
          </w:p>
          <w:p w14:paraId="68786C2D" w14:textId="5DE004ED" w:rsidR="000D4D65" w:rsidRPr="004D4906" w:rsidRDefault="000D4D65" w:rsidP="001D1564">
            <w:pPr>
              <w:pStyle w:val="TableText"/>
              <w:numPr>
                <w:ilvl w:val="0"/>
                <w:numId w:val="12"/>
              </w:numPr>
              <w:rPr>
                <w:rFonts w:ascii="Arial" w:hAnsi="Arial" w:cs="Arial"/>
                <w:b/>
                <w:bCs/>
                <w:sz w:val="20"/>
                <w:szCs w:val="20"/>
              </w:rPr>
            </w:pPr>
            <w:r w:rsidRPr="004D4906">
              <w:rPr>
                <w:rFonts w:ascii="Arial" w:hAnsi="Arial" w:cs="Arial"/>
                <w:sz w:val="20"/>
                <w:szCs w:val="20"/>
              </w:rPr>
              <w:t xml:space="preserve">enter into any corporate strategic relationship involving the payment contribution or assignment by the Company or to the Company of assets greater than </w:t>
            </w:r>
            <w:r w:rsidR="001D1564" w:rsidRPr="004D4906">
              <w:rPr>
                <w:rFonts w:ascii="Arial" w:hAnsi="Arial" w:cs="Arial"/>
                <w:sz w:val="20"/>
                <w:szCs w:val="20"/>
              </w:rPr>
              <w:t>[R</w:t>
            </w:r>
            <w:r w:rsidR="004A6DDB" w:rsidRPr="004A6DDB">
              <w:rPr>
                <w:rFonts w:ascii="Arial" w:hAnsi="Arial" w:cs="Arial"/>
                <w:sz w:val="20"/>
                <w:szCs w:val="20"/>
              </w:rPr>
              <w:t>[●]</w:t>
            </w:r>
            <w:r w:rsidR="004A6DDB">
              <w:rPr>
                <w:rFonts w:ascii="Arial" w:hAnsi="Arial" w:cs="Arial"/>
                <w:sz w:val="20"/>
                <w:szCs w:val="20"/>
              </w:rPr>
              <w:t xml:space="preserve"> (</w:t>
            </w:r>
            <w:r w:rsidR="004A6DDB" w:rsidRPr="004A6DDB">
              <w:rPr>
                <w:rFonts w:ascii="Arial" w:hAnsi="Arial" w:cs="Arial"/>
                <w:sz w:val="20"/>
                <w:szCs w:val="20"/>
              </w:rPr>
              <w:t>[●]</w:t>
            </w:r>
            <w:r w:rsidR="004A6DDB">
              <w:rPr>
                <w:rFonts w:ascii="Arial" w:hAnsi="Arial" w:cs="Arial"/>
                <w:sz w:val="20"/>
                <w:szCs w:val="20"/>
              </w:rPr>
              <w:t>)</w:t>
            </w:r>
            <w:r w:rsidRPr="004D4906">
              <w:rPr>
                <w:rFonts w:ascii="Arial" w:hAnsi="Arial" w:cs="Arial"/>
                <w:sz w:val="20"/>
                <w:szCs w:val="20"/>
              </w:rPr>
              <w:t xml:space="preserve"> </w:t>
            </w:r>
          </w:p>
        </w:tc>
      </w:tr>
    </w:tbl>
    <w:p w14:paraId="245BCEA5" w14:textId="77777777" w:rsidR="000D4D65" w:rsidRPr="004D4906" w:rsidRDefault="000D4D65" w:rsidP="004146A9">
      <w:pPr>
        <w:rPr>
          <w:rFonts w:ascii="Arial" w:eastAsia="Arial" w:hAnsi="Arial" w:cs="Arial"/>
          <w:sz w:val="20"/>
          <w:szCs w:val="20"/>
        </w:rPr>
      </w:pPr>
    </w:p>
    <w:sectPr w:rsidR="000D4D65" w:rsidRPr="004D4906" w:rsidSect="000B2393">
      <w:headerReference w:type="default" r:id="rId20"/>
      <w:footerReference w:type="default" r:id="rId21"/>
      <w:pgSz w:w="12240" w:h="15840" w:code="1"/>
      <w:pgMar w:top="1152"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mmisse Attorneys Inc." w:date="2025-06-28T10:12:00Z" w:initials="JvZ">
    <w:p w14:paraId="29122EB0" w14:textId="77777777" w:rsidR="007C7FB4" w:rsidRDefault="00445928" w:rsidP="007C7FB4">
      <w:pPr>
        <w:pStyle w:val="CommentText"/>
      </w:pPr>
      <w:r>
        <w:rPr>
          <w:rStyle w:val="CommentReference"/>
        </w:rPr>
        <w:annotationRef/>
      </w:r>
      <w:r w:rsidR="007C7FB4">
        <w:rPr>
          <w:b/>
          <w:bCs/>
          <w:u w:val="single"/>
          <w:lang w:val="en-ZA"/>
        </w:rPr>
        <w:t>Process:</w:t>
      </w:r>
    </w:p>
    <w:p w14:paraId="3995EC68" w14:textId="77777777" w:rsidR="007C7FB4" w:rsidRDefault="007C7FB4" w:rsidP="007C7FB4">
      <w:pPr>
        <w:pStyle w:val="CommentText"/>
      </w:pPr>
    </w:p>
    <w:p w14:paraId="479B1CC9" w14:textId="77777777" w:rsidR="007C7FB4" w:rsidRDefault="007C7FB4" w:rsidP="007C7FB4">
      <w:pPr>
        <w:pStyle w:val="CommentText"/>
        <w:numPr>
          <w:ilvl w:val="0"/>
          <w:numId w:val="26"/>
        </w:numPr>
      </w:pPr>
      <w:r>
        <w:rPr>
          <w:lang w:val="en-ZA"/>
        </w:rPr>
        <w:t>Started with the NVCA templates as a base.</w:t>
      </w:r>
      <w:r>
        <w:br/>
      </w:r>
    </w:p>
    <w:p w14:paraId="24AC1E0B" w14:textId="77777777" w:rsidR="007C7FB4" w:rsidRDefault="007C7FB4" w:rsidP="007C7FB4">
      <w:pPr>
        <w:pStyle w:val="CommentText"/>
        <w:numPr>
          <w:ilvl w:val="0"/>
          <w:numId w:val="26"/>
        </w:numPr>
      </w:pPr>
      <w:r>
        <w:rPr>
          <w:lang w:val="en-ZA"/>
        </w:rPr>
        <w:t>Removed provisions that are irrelevant in the South African context, retaining those that are applicable.</w:t>
      </w:r>
      <w:r>
        <w:br/>
      </w:r>
    </w:p>
    <w:p w14:paraId="7A09495C" w14:textId="77777777" w:rsidR="007C7FB4" w:rsidRDefault="007C7FB4" w:rsidP="007C7FB4">
      <w:pPr>
        <w:pStyle w:val="CommentText"/>
        <w:numPr>
          <w:ilvl w:val="0"/>
          <w:numId w:val="26"/>
        </w:numPr>
      </w:pPr>
      <w:r>
        <w:rPr>
          <w:lang w:val="en-ZA"/>
        </w:rPr>
        <w:t>Adapted the retained provisions to reflect South African law and practice.</w:t>
      </w:r>
      <w:r>
        <w:br/>
      </w:r>
    </w:p>
    <w:p w14:paraId="5150458F" w14:textId="77777777" w:rsidR="007C7FB4" w:rsidRDefault="007C7FB4" w:rsidP="007C7FB4">
      <w:pPr>
        <w:pStyle w:val="CommentText"/>
        <w:numPr>
          <w:ilvl w:val="0"/>
          <w:numId w:val="26"/>
        </w:numPr>
      </w:pPr>
      <w:r>
        <w:rPr>
          <w:lang w:val="en-ZA"/>
        </w:rPr>
        <w:t>Incorporated relevant provisions from the Endeavour and Dommisse term sheets to supplement the draft.</w:t>
      </w:r>
      <w:r>
        <w:br/>
      </w:r>
    </w:p>
    <w:p w14:paraId="0F895199" w14:textId="77777777" w:rsidR="007C7FB4" w:rsidRDefault="007C7FB4" w:rsidP="007C7FB4">
      <w:pPr>
        <w:pStyle w:val="CommentText"/>
        <w:numPr>
          <w:ilvl w:val="0"/>
          <w:numId w:val="26"/>
        </w:numPr>
      </w:pPr>
      <w:r>
        <w:rPr>
          <w:lang w:val="en-ZA"/>
        </w:rPr>
        <w:t>Removed the NVCA footnote guidance, except where the notes were purely factual (rather than indicative of a market preference or standard). Similar guidance notes, tailored to the South African context, can be developed collaboratively with the working group.</w:t>
      </w:r>
    </w:p>
    <w:p w14:paraId="220C1B79" w14:textId="77777777" w:rsidR="007C7FB4" w:rsidRDefault="007C7FB4" w:rsidP="007C7FB4">
      <w:pPr>
        <w:pStyle w:val="CommentText"/>
      </w:pPr>
    </w:p>
    <w:p w14:paraId="4586AFF9" w14:textId="77777777" w:rsidR="007C7FB4" w:rsidRDefault="007C7FB4" w:rsidP="007C7FB4">
      <w:pPr>
        <w:pStyle w:val="CommentText"/>
      </w:pPr>
      <w:r>
        <w:rPr>
          <w:b/>
          <w:bCs/>
          <w:u w:val="single"/>
          <w:lang w:val="en-ZA"/>
        </w:rPr>
        <w:t>Intention:</w:t>
      </w:r>
    </w:p>
    <w:p w14:paraId="5B19B414" w14:textId="77777777" w:rsidR="007C7FB4" w:rsidRDefault="007C7FB4" w:rsidP="007C7FB4">
      <w:pPr>
        <w:pStyle w:val="CommentText"/>
      </w:pPr>
    </w:p>
    <w:p w14:paraId="041E4E31" w14:textId="77777777" w:rsidR="007C7FB4" w:rsidRDefault="007C7FB4" w:rsidP="007C7FB4">
      <w:pPr>
        <w:pStyle w:val="CommentText"/>
        <w:numPr>
          <w:ilvl w:val="0"/>
          <w:numId w:val="27"/>
        </w:numPr>
      </w:pPr>
      <w:r>
        <w:rPr>
          <w:lang w:val="en-ZA"/>
        </w:rPr>
        <w:t>The intention is to provide a starting point that enables the working group to contribute towards:</w:t>
      </w:r>
    </w:p>
    <w:p w14:paraId="19AA68FF" w14:textId="77777777" w:rsidR="007C7FB4" w:rsidRDefault="007C7FB4" w:rsidP="007C7FB4">
      <w:pPr>
        <w:pStyle w:val="CommentText"/>
      </w:pPr>
    </w:p>
    <w:p w14:paraId="398AC525" w14:textId="77777777" w:rsidR="007C7FB4" w:rsidRDefault="007C7FB4" w:rsidP="007C7FB4">
      <w:pPr>
        <w:pStyle w:val="CommentText"/>
        <w:numPr>
          <w:ilvl w:val="0"/>
          <w:numId w:val="28"/>
        </w:numPr>
      </w:pPr>
      <w:r>
        <w:rPr>
          <w:lang w:val="en-ZA"/>
        </w:rPr>
        <w:t>Developing a set of model documents that reflect South African market-standard positions.</w:t>
      </w:r>
    </w:p>
    <w:p w14:paraId="1BB9F35C" w14:textId="77777777" w:rsidR="007C7FB4" w:rsidRDefault="007C7FB4" w:rsidP="007C7FB4">
      <w:pPr>
        <w:pStyle w:val="CommentText"/>
      </w:pPr>
    </w:p>
    <w:p w14:paraId="47B9DEDF" w14:textId="77777777" w:rsidR="007C7FB4" w:rsidRDefault="007C7FB4" w:rsidP="007C7FB4">
      <w:pPr>
        <w:pStyle w:val="CommentText"/>
        <w:numPr>
          <w:ilvl w:val="0"/>
          <w:numId w:val="29"/>
        </w:numPr>
      </w:pPr>
      <w:r>
        <w:rPr>
          <w:lang w:val="en-ZA"/>
        </w:rPr>
        <w:t>Agreeing on a consistent drafting style.</w:t>
      </w:r>
    </w:p>
    <w:p w14:paraId="40A7F1AB" w14:textId="77777777" w:rsidR="007C7FB4" w:rsidRDefault="007C7FB4" w:rsidP="007C7FB4">
      <w:pPr>
        <w:pStyle w:val="CommentText"/>
      </w:pPr>
    </w:p>
    <w:p w14:paraId="3A5807A1" w14:textId="77777777" w:rsidR="007C7FB4" w:rsidRDefault="007C7FB4" w:rsidP="007C7FB4">
      <w:pPr>
        <w:pStyle w:val="CommentText"/>
        <w:numPr>
          <w:ilvl w:val="0"/>
          <w:numId w:val="30"/>
        </w:numPr>
      </w:pPr>
      <w:r>
        <w:rPr>
          <w:lang w:val="en-ZA"/>
        </w:rPr>
        <w:t>Establishing aligned guidance principles to accompany the documents.</w:t>
      </w:r>
    </w:p>
  </w:comment>
  <w:comment w:id="1" w:author="Dommisse Attorneys Inc." w:date="2025-06-28T10:15:00Z" w:initials="JvZ">
    <w:p w14:paraId="5DAD0105" w14:textId="77777777" w:rsidR="00C72E59" w:rsidRDefault="00445928" w:rsidP="00C72E59">
      <w:pPr>
        <w:pStyle w:val="CommentText"/>
      </w:pPr>
      <w:r>
        <w:rPr>
          <w:rStyle w:val="CommentReference"/>
        </w:rPr>
        <w:annotationRef/>
      </w:r>
      <w:r w:rsidR="00C72E59">
        <w:rPr>
          <w:b/>
          <w:bCs/>
          <w:u w:val="single"/>
          <w:lang w:val="en-ZA"/>
        </w:rPr>
        <w:t xml:space="preserve">Drafting note: </w:t>
      </w:r>
      <w:r w:rsidR="00C72E59">
        <w:t xml:space="preserve">The original note was copyright protected.  The NVCA has been contacted to confirm use. However, we have adopted conventional South African and international language and we don’t believe that any copyright has been infringed. </w:t>
      </w:r>
    </w:p>
    <w:p w14:paraId="510D02F1" w14:textId="77777777" w:rsidR="00C72E59" w:rsidRDefault="00C72E59" w:rsidP="00C72E59">
      <w:pPr>
        <w:pStyle w:val="CommentText"/>
      </w:pPr>
    </w:p>
    <w:p w14:paraId="1F00BCE6" w14:textId="77777777" w:rsidR="00C72E59" w:rsidRDefault="00C72E59" w:rsidP="00C72E59">
      <w:pPr>
        <w:pStyle w:val="CommentText"/>
      </w:pPr>
      <w:r>
        <w:t>We support the principle of using the term sheet as a “road map” to the document drafters. The NVCA term sheet allows the reader to identify where each term is recorded in the various investment documents. This will be simpler in SA with less documents, but still a helpful principle.</w:t>
      </w:r>
    </w:p>
  </w:comment>
  <w:comment w:id="33" w:author="Adrian Dommisse" w:date="2025-08-10T14:29:00Z" w:initials="AD">
    <w:p w14:paraId="0B9708DE" w14:textId="4C1BC467" w:rsidR="00DA017F" w:rsidRDefault="00DA017F" w:rsidP="00DA017F">
      <w:pPr>
        <w:pStyle w:val="CommentText"/>
      </w:pPr>
      <w:r>
        <w:rPr>
          <w:rStyle w:val="CommentReference"/>
        </w:rPr>
        <w:annotationRef/>
      </w:r>
      <w:r>
        <w:t xml:space="preserve">We have added the italicised wording to the NVCA’s standard wording.  The reason is that we believe that the italicized wording is inevitably requested in the long form documents and that a departure from that should be agreed upfront in this term sheet. </w:t>
      </w:r>
    </w:p>
  </w:comment>
  <w:comment w:id="34" w:author="Adrian Dommisse" w:date="2025-08-10T14:31:00Z" w:initials="AD">
    <w:p w14:paraId="3B35BA9B" w14:textId="77777777" w:rsidR="00823189" w:rsidRDefault="00DA017F" w:rsidP="00823189">
      <w:pPr>
        <w:pStyle w:val="CommentText"/>
      </w:pPr>
      <w:r>
        <w:rPr>
          <w:rStyle w:val="CommentReference"/>
        </w:rPr>
        <w:annotationRef/>
      </w:r>
      <w:r w:rsidR="00823189">
        <w:t xml:space="preserve">The NVCA does not contain a dedicated ESOP provision.  However, we suggest that if an investor requirement is to create/increase an ESOP, then that should be agreed at this early stage. This is all the more the case in South Africa where Founder’s may not be able to anticipate ESOP requirements or their impact on dilution. </w:t>
      </w:r>
    </w:p>
  </w:comment>
  <w:comment w:id="39" w:author="Adrian Dommisse" w:date="2025-08-15T16:40:00Z" w:initials="AD">
    <w:p w14:paraId="1FED1C2A" w14:textId="6CC517C1" w:rsidR="00826D30" w:rsidRDefault="00976120" w:rsidP="00826D30">
      <w:pPr>
        <w:pStyle w:val="CommentText"/>
      </w:pPr>
      <w:r>
        <w:rPr>
          <w:rStyle w:val="CommentReference"/>
        </w:rPr>
        <w:annotationRef/>
      </w:r>
      <w:r w:rsidR="00826D30">
        <w:rPr>
          <w:lang w:val="en-ZA"/>
        </w:rPr>
        <w:t xml:space="preserve">Working Group discussion: although a South African listing is perhaps unusual, this provision is retained from international practice. </w:t>
      </w:r>
    </w:p>
  </w:comment>
  <w:comment w:id="40" w:author="Adrian Dommisse" w:date="2025-08-15T17:05:00Z" w:initials="AD">
    <w:p w14:paraId="6BDC7B17" w14:textId="13A8FC3C" w:rsidR="001A7801" w:rsidRDefault="001A7801" w:rsidP="001A7801">
      <w:pPr>
        <w:pStyle w:val="CommentText"/>
      </w:pPr>
      <w:r>
        <w:rPr>
          <w:rStyle w:val="CommentReference"/>
        </w:rPr>
        <w:annotationRef/>
      </w:r>
      <w:r>
        <w:rPr>
          <w:lang w:val="en-ZA"/>
        </w:rPr>
        <w:t>Note a unique Series A Share right, rather a voting agreement set out in the MOI</w:t>
      </w:r>
    </w:p>
  </w:comment>
  <w:comment w:id="41" w:author="Dommisse Attorneys Inc." w:date="2025-07-28T05:53:00Z" w:initials="JvZ">
    <w:p w14:paraId="7BEF5B86" w14:textId="5874BEE1" w:rsidR="00F1153C" w:rsidRDefault="005764F1" w:rsidP="00F1153C">
      <w:pPr>
        <w:pStyle w:val="CommentText"/>
      </w:pPr>
      <w:r>
        <w:rPr>
          <w:rStyle w:val="CommentReference"/>
        </w:rPr>
        <w:annotationRef/>
      </w:r>
      <w:r w:rsidR="00F1153C">
        <w:rPr>
          <w:b/>
          <w:bCs/>
          <w:lang w:val="en-ZA"/>
        </w:rPr>
        <w:t xml:space="preserve">The Working Group is requested to provide guidance on the following: </w:t>
      </w:r>
    </w:p>
    <w:p w14:paraId="28971619" w14:textId="77777777" w:rsidR="00F1153C" w:rsidRDefault="00F1153C" w:rsidP="00F1153C">
      <w:pPr>
        <w:pStyle w:val="CommentText"/>
      </w:pPr>
    </w:p>
    <w:p w14:paraId="6B780F1C" w14:textId="77777777" w:rsidR="00F1153C" w:rsidRDefault="00F1153C" w:rsidP="00F1153C">
      <w:pPr>
        <w:pStyle w:val="CommentText"/>
      </w:pPr>
      <w:r>
        <w:rPr>
          <w:lang w:val="en-ZA"/>
        </w:rPr>
        <w:t xml:space="preserve">Please review and advise whether the proposed board composition reflects </w:t>
      </w:r>
      <w:r>
        <w:rPr>
          <w:i/>
          <w:iCs/>
          <w:lang w:val="en-ZA"/>
        </w:rPr>
        <w:t>industry standard</w:t>
      </w:r>
      <w:r>
        <w:rPr>
          <w:lang w:val="en-ZA"/>
        </w:rPr>
        <w:t xml:space="preserve"> practice for transactions of this type, taking into account the relative shareholdings and rights of the different stakeholder groups. </w:t>
      </w:r>
    </w:p>
  </w:comment>
  <w:comment w:id="42" w:author="Adrian Dommisse [2]" w:date="2021-11-30T13:39:00Z" w:initials="AD">
    <w:p w14:paraId="681975AB" w14:textId="77777777" w:rsidR="00F107B0" w:rsidRPr="00A86B30" w:rsidRDefault="00F107B0" w:rsidP="00F107B0">
      <w:pPr>
        <w:pStyle w:val="CommentText"/>
        <w:rPr>
          <w:lang w:val="en-ZA"/>
        </w:rPr>
      </w:pPr>
      <w:r>
        <w:rPr>
          <w:rStyle w:val="CommentReference"/>
          <w:rFonts w:eastAsia="Arial"/>
        </w:rPr>
        <w:annotationRef/>
      </w:r>
      <w:r>
        <w:rPr>
          <w:lang w:val="en-ZA"/>
        </w:rPr>
        <w:t>Alternatively – just “RVCM”</w:t>
      </w:r>
    </w:p>
  </w:comment>
  <w:comment w:id="49" w:author="Adrian Dommisse" w:date="2025-08-17T16:05:00Z" w:initials="AD">
    <w:p w14:paraId="7EE78B3A" w14:textId="3ED23579" w:rsidR="008A7CBA" w:rsidRDefault="008A7CBA" w:rsidP="008A7CBA">
      <w:pPr>
        <w:pStyle w:val="CommentText"/>
      </w:pPr>
      <w:r>
        <w:rPr>
          <w:rStyle w:val="CommentReference"/>
        </w:rPr>
        <w:annotationRef/>
      </w:r>
      <w:r>
        <w:rPr>
          <w:b/>
          <w:bCs/>
        </w:rPr>
        <w:t xml:space="preserve">Working Group Note: </w:t>
      </w:r>
      <w:r>
        <w:t xml:space="preserve">The NVCA docs qualify the pre-emptive rights on transfers, as applying only to shareholders who hold 1% or more of the fully diluted shares in the company. We don’t see the value of adopting that qualification, for discussion. </w:t>
      </w:r>
    </w:p>
  </w:comment>
  <w:comment w:id="50" w:author="Adrian Dommisse" w:date="2025-08-25T17:33:00Z" w:initials="AD">
    <w:p w14:paraId="10879422" w14:textId="77777777" w:rsidR="00AF71E9" w:rsidRDefault="00AF71E9" w:rsidP="00AF71E9">
      <w:pPr>
        <w:pStyle w:val="CommentText"/>
      </w:pPr>
      <w:r>
        <w:rPr>
          <w:rStyle w:val="CommentReference"/>
        </w:rPr>
        <w:annotationRef/>
      </w:r>
      <w:r>
        <w:t xml:space="preserve">Note distinction from Co-Sale.  </w:t>
      </w:r>
    </w:p>
    <w:p w14:paraId="3C4A8377" w14:textId="77777777" w:rsidR="00AF71E9" w:rsidRDefault="00AF71E9" w:rsidP="00AF71E9">
      <w:pPr>
        <w:pStyle w:val="CommentText"/>
      </w:pPr>
    </w:p>
    <w:p w14:paraId="11A23F08" w14:textId="77777777" w:rsidR="00AF71E9" w:rsidRDefault="00AF71E9" w:rsidP="00AF71E9">
      <w:pPr>
        <w:pStyle w:val="CommentText"/>
      </w:pPr>
      <w:r>
        <w:t xml:space="preserve">Tag Along triggered when a minimum % of shareholders decide to sell. Then the others can sell too. </w:t>
      </w:r>
    </w:p>
    <w:p w14:paraId="1858BE5F" w14:textId="77777777" w:rsidR="00AF71E9" w:rsidRDefault="00AF71E9" w:rsidP="00AF71E9">
      <w:pPr>
        <w:pStyle w:val="CommentText"/>
      </w:pPr>
    </w:p>
    <w:p w14:paraId="3D6574E3" w14:textId="77777777" w:rsidR="00AF71E9" w:rsidRDefault="00AF71E9" w:rsidP="00AF71E9">
      <w:pPr>
        <w:pStyle w:val="CommentText"/>
      </w:pPr>
      <w:r>
        <w:t xml:space="preserve">Co-Sale triggered when a Founder decides to sell. Then the Investors can require buy to buy some of their own shares instead of some of the Founder’s Shares . </w:t>
      </w:r>
    </w:p>
  </w:comment>
  <w:comment w:id="53" w:author="Dommisse Attorneys Inc." w:date="2025-06-30T07:40:00Z" w:initials="JvZ">
    <w:p w14:paraId="7D84E6CD" w14:textId="77777777" w:rsidR="006E1E2C" w:rsidRDefault="002D763E" w:rsidP="006E1E2C">
      <w:pPr>
        <w:pStyle w:val="CommentText"/>
      </w:pPr>
      <w:r>
        <w:rPr>
          <w:rStyle w:val="CommentReference"/>
        </w:rPr>
        <w:annotationRef/>
      </w:r>
      <w:r w:rsidR="006E1E2C">
        <w:rPr>
          <w:b/>
          <w:bCs/>
          <w:u w:val="single"/>
          <w:lang w:val="en-ZA"/>
        </w:rPr>
        <w:t xml:space="preserve">Drafting note: </w:t>
      </w:r>
      <w:r w:rsidR="006E1E2C">
        <w:rPr>
          <w:lang w:val="en-ZA"/>
        </w:rPr>
        <w:t xml:space="preserve"> It is important to take a clear position that S8C of the ITA will not apply to this situation: i.e. shares held by Founders have been issued at incorporation, not in the course of employment.  </w:t>
      </w:r>
    </w:p>
  </w:comment>
  <w:comment w:id="54" w:author="Dommisse Attorneys Inc." w:date="2025-07-28T07:30:00Z" w:initials="JvZ">
    <w:p w14:paraId="21244CF5" w14:textId="36D6AFF0" w:rsidR="00F1153C" w:rsidRDefault="003265F0" w:rsidP="00F1153C">
      <w:pPr>
        <w:pStyle w:val="CommentText"/>
      </w:pPr>
      <w:r>
        <w:rPr>
          <w:rStyle w:val="CommentReference"/>
        </w:rPr>
        <w:annotationRef/>
      </w:r>
      <w:r w:rsidR="00F1153C">
        <w:rPr>
          <w:b/>
          <w:bCs/>
          <w:lang w:val="en-ZA"/>
        </w:rPr>
        <w:t>The Working Group is requested to provide guidance on the following:</w:t>
      </w:r>
    </w:p>
    <w:p w14:paraId="08A92820" w14:textId="77777777" w:rsidR="00F1153C" w:rsidRDefault="00F1153C" w:rsidP="00F1153C">
      <w:pPr>
        <w:pStyle w:val="CommentText"/>
      </w:pPr>
    </w:p>
    <w:p w14:paraId="56F1B485" w14:textId="77777777" w:rsidR="00F1153C" w:rsidRDefault="00F1153C" w:rsidP="00F1153C">
      <w:pPr>
        <w:pStyle w:val="CommentText"/>
      </w:pPr>
      <w:r>
        <w:t>This wording is introduced for discussion and is not included in the NVCA documents.</w:t>
      </w:r>
    </w:p>
  </w:comment>
  <w:comment w:id="55" w:author="Adrian Dommisse" w:date="2025-08-25T17:12:00Z" w:initials="AD">
    <w:p w14:paraId="1D426E8C" w14:textId="77777777" w:rsidR="00F4447A" w:rsidRDefault="00F4447A" w:rsidP="00F4447A">
      <w:pPr>
        <w:pStyle w:val="CommentText"/>
      </w:pPr>
      <w:r>
        <w:rPr>
          <w:rStyle w:val="CommentReference"/>
        </w:rPr>
        <w:annotationRef/>
      </w:r>
      <w:r>
        <w:rPr>
          <w:color w:val="1A1820"/>
          <w:highlight w:val="white"/>
        </w:rPr>
        <w:t>The definition of “Cause” for a departing founder is very detailed and US-centric. It would be beneficial for the working group to refine this to align cleanly with South African employment law principles for dismissal.</w:t>
      </w:r>
      <w:r>
        <w:t xml:space="preserve"> </w:t>
      </w:r>
    </w:p>
  </w:comment>
  <w:comment w:id="56" w:author="Dommisse Attorneys Inc." w:date="2025-07-28T07:33:00Z" w:initials="JvZ">
    <w:p w14:paraId="15AFDE6C" w14:textId="60FC3C18" w:rsidR="00F1153C" w:rsidRDefault="003265F0" w:rsidP="00F1153C">
      <w:pPr>
        <w:pStyle w:val="CommentText"/>
      </w:pPr>
      <w:r>
        <w:rPr>
          <w:rStyle w:val="CommentReference"/>
        </w:rPr>
        <w:annotationRef/>
      </w:r>
      <w:r w:rsidR="00F1153C">
        <w:rPr>
          <w:b/>
          <w:bCs/>
          <w:lang w:val="en-ZA"/>
        </w:rPr>
        <w:t>The Working Group is requested to provide guidance on the following:</w:t>
      </w:r>
    </w:p>
    <w:p w14:paraId="16F48D22" w14:textId="77777777" w:rsidR="00F1153C" w:rsidRDefault="00F1153C" w:rsidP="00F1153C">
      <w:pPr>
        <w:pStyle w:val="CommentText"/>
      </w:pPr>
    </w:p>
    <w:p w14:paraId="160F9C4E" w14:textId="77777777" w:rsidR="00F1153C" w:rsidRDefault="00F1153C" w:rsidP="00F1153C">
      <w:pPr>
        <w:pStyle w:val="CommentText"/>
      </w:pPr>
      <w:r>
        <w:rPr>
          <w:b/>
          <w:bCs/>
          <w:u w:val="single"/>
        </w:rPr>
        <w:t xml:space="preserve">NVCA Wording: </w:t>
      </w:r>
      <w:r>
        <w:t>[Company] counsel to draft applicable documents. Company to pay all legal and administrative costs of the financing [at Closing], including (subject to the Closing) reasonable fees (not to exceed $[_____]) and expenses of Investor counsel</w:t>
      </w:r>
    </w:p>
  </w:comment>
  <w:comment w:id="61" w:author="Adrian Dommisse" w:date="2025-08-15T16:41:00Z" w:initials="AD">
    <w:p w14:paraId="3A3544E9" w14:textId="77777777" w:rsidR="00976120" w:rsidRDefault="00976120" w:rsidP="00976120">
      <w:pPr>
        <w:pStyle w:val="CommentText"/>
      </w:pPr>
      <w:r>
        <w:rPr>
          <w:rStyle w:val="CommentReference"/>
        </w:rPr>
        <w:annotationRef/>
      </w:r>
      <w:r>
        <w:rPr>
          <w:b/>
          <w:bCs/>
          <w:lang w:val="en-ZA"/>
        </w:rPr>
        <w:t xml:space="preserve">Working Group Discussion: </w:t>
      </w:r>
      <w:r>
        <w:rPr>
          <w:lang w:val="en-ZA"/>
        </w:rPr>
        <w:t>should we consider standardized wording around establishing an offshore mirror/holdco, as a post-completion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807A1" w15:done="0"/>
  <w15:commentEx w15:paraId="1F00BCE6" w15:done="0"/>
  <w15:commentEx w15:paraId="0B9708DE" w15:done="0"/>
  <w15:commentEx w15:paraId="3B35BA9B" w15:done="0"/>
  <w15:commentEx w15:paraId="1FED1C2A" w15:done="0"/>
  <w15:commentEx w15:paraId="6BDC7B17" w15:done="0"/>
  <w15:commentEx w15:paraId="6B780F1C" w15:done="0"/>
  <w15:commentEx w15:paraId="681975AB" w15:done="1"/>
  <w15:commentEx w15:paraId="7EE78B3A" w15:done="0"/>
  <w15:commentEx w15:paraId="3D6574E3" w15:done="0"/>
  <w15:commentEx w15:paraId="7D84E6CD" w15:done="0"/>
  <w15:commentEx w15:paraId="56F1B485" w15:done="0"/>
  <w15:commentEx w15:paraId="1D426E8C" w15:done="0"/>
  <w15:commentEx w15:paraId="160F9C4E" w15:done="0"/>
  <w15:commentEx w15:paraId="3A3544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AB85C6" w16cex:dateUtc="2025-06-28T08:12:00Z"/>
  <w16cex:commentExtensible w16cex:durableId="0737263B" w16cex:dateUtc="2025-06-28T08:15:00Z"/>
  <w16cex:commentExtensible w16cex:durableId="3444793D" w16cex:dateUtc="2025-08-10T12:29:00Z"/>
  <w16cex:commentExtensible w16cex:durableId="0795E56A" w16cex:dateUtc="2025-08-10T12:31:00Z"/>
  <w16cex:commentExtensible w16cex:durableId="24F238C5" w16cex:dateUtc="2025-08-15T14:40:00Z"/>
  <w16cex:commentExtensible w16cex:durableId="52726A6D" w16cex:dateUtc="2025-08-15T15:05:00Z"/>
  <w16cex:commentExtensible w16cex:durableId="3FED909E" w16cex:dateUtc="2025-07-28T03:53:00Z"/>
  <w16cex:commentExtensible w16cex:durableId="461B2C84" w16cex:dateUtc="2021-11-30T11:39:00Z"/>
  <w16cex:commentExtensible w16cex:durableId="06A6E1A5" w16cex:dateUtc="2025-08-17T14:05:00Z"/>
  <w16cex:commentExtensible w16cex:durableId="4033CEA4" w16cex:dateUtc="2025-08-25T15:33:00Z"/>
  <w16cex:commentExtensible w16cex:durableId="3FA3D485" w16cex:dateUtc="2025-06-30T05:40:00Z"/>
  <w16cex:commentExtensible w16cex:durableId="7782ADA7" w16cex:dateUtc="2025-07-28T05:30:00Z"/>
  <w16cex:commentExtensible w16cex:durableId="1749DB35" w16cex:dateUtc="2025-08-25T15:12:00Z"/>
  <w16cex:commentExtensible w16cex:durableId="369CA043" w16cex:dateUtc="2025-07-28T05:33:00Z"/>
  <w16cex:commentExtensible w16cex:durableId="594497C5" w16cex:dateUtc="2025-08-15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807A1" w16cid:durableId="58AB85C6"/>
  <w16cid:commentId w16cid:paraId="1F00BCE6" w16cid:durableId="0737263B"/>
  <w16cid:commentId w16cid:paraId="0B9708DE" w16cid:durableId="3444793D"/>
  <w16cid:commentId w16cid:paraId="3B35BA9B" w16cid:durableId="0795E56A"/>
  <w16cid:commentId w16cid:paraId="1FED1C2A" w16cid:durableId="24F238C5"/>
  <w16cid:commentId w16cid:paraId="6BDC7B17" w16cid:durableId="52726A6D"/>
  <w16cid:commentId w16cid:paraId="6B780F1C" w16cid:durableId="3FED909E"/>
  <w16cid:commentId w16cid:paraId="681975AB" w16cid:durableId="461B2C84"/>
  <w16cid:commentId w16cid:paraId="7EE78B3A" w16cid:durableId="06A6E1A5"/>
  <w16cid:commentId w16cid:paraId="3D6574E3" w16cid:durableId="4033CEA4"/>
  <w16cid:commentId w16cid:paraId="7D84E6CD" w16cid:durableId="3FA3D485"/>
  <w16cid:commentId w16cid:paraId="56F1B485" w16cid:durableId="7782ADA7"/>
  <w16cid:commentId w16cid:paraId="1D426E8C" w16cid:durableId="1749DB35"/>
  <w16cid:commentId w16cid:paraId="160F9C4E" w16cid:durableId="369CA043"/>
  <w16cid:commentId w16cid:paraId="3A3544E9" w16cid:durableId="594497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FBEA" w14:textId="77777777" w:rsidR="009E259E" w:rsidRDefault="009E259E" w:rsidP="00DD2457">
      <w:r>
        <w:separator/>
      </w:r>
    </w:p>
  </w:endnote>
  <w:endnote w:type="continuationSeparator" w:id="0">
    <w:p w14:paraId="687D167F" w14:textId="77777777" w:rsidR="009E259E" w:rsidRDefault="009E259E" w:rsidP="00DD2457">
      <w:r>
        <w:continuationSeparator/>
      </w:r>
    </w:p>
  </w:endnote>
  <w:endnote w:type="continuationNotice" w:id="1">
    <w:p w14:paraId="7F50A39A" w14:textId="77777777" w:rsidR="009E259E" w:rsidRDefault="009E2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3672071"/>
      <w:docPartObj>
        <w:docPartGallery w:val="Page Numbers (Bottom of Page)"/>
        <w:docPartUnique/>
      </w:docPartObj>
    </w:sdtPr>
    <w:sdtContent>
      <w:p w14:paraId="6D4B0233" w14:textId="6C48D138" w:rsidR="000B2393" w:rsidRDefault="000B2393" w:rsidP="000B23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657D5">
          <w:rPr>
            <w:rStyle w:val="PageNumber"/>
            <w:noProof/>
          </w:rPr>
          <w:t>2</w:t>
        </w:r>
        <w:r>
          <w:rPr>
            <w:rStyle w:val="PageNumber"/>
          </w:rPr>
          <w:fldChar w:fldCharType="end"/>
        </w:r>
      </w:p>
    </w:sdtContent>
  </w:sdt>
  <w:p w14:paraId="1CB98EFB" w14:textId="77777777" w:rsidR="000B2393" w:rsidRDefault="000B2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3F7C" w14:textId="23840A57" w:rsidR="000B2393" w:rsidRPr="00DD2457" w:rsidRDefault="000B2393" w:rsidP="00DD2457">
    <w:pPr>
      <w:pStyle w:val="Footer"/>
      <w:tabs>
        <w:tab w:val="clear" w:pos="4320"/>
        <w:tab w:val="center" w:pos="4680"/>
      </w:tabs>
      <w:autoSpaceDE/>
      <w:autoSpaceDN/>
      <w:adjustRightInd/>
    </w:pPr>
    <w:r w:rsidRPr="002F7CEB">
      <w:rPr>
        <w:sz w:val="16"/>
      </w:rPr>
      <w:tab/>
    </w:r>
    <w:r w:rsidRPr="00690140">
      <w:rPr>
        <w:rStyle w:val="PageNumber"/>
      </w:rPr>
      <w:fldChar w:fldCharType="begin"/>
    </w:r>
    <w:r w:rsidRPr="00690140">
      <w:rPr>
        <w:rStyle w:val="PageNumber"/>
      </w:rPr>
      <w:instrText xml:space="preserve">PAGE  </w:instrText>
    </w:r>
    <w:r w:rsidRPr="00690140">
      <w:rPr>
        <w:rStyle w:val="PageNumber"/>
      </w:rPr>
      <w:fldChar w:fldCharType="separate"/>
    </w:r>
    <w:r>
      <w:rPr>
        <w:rStyle w:val="PageNumber"/>
      </w:rPr>
      <w:t>40</w:t>
    </w:r>
    <w:r w:rsidRPr="0069014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F321" w14:textId="77777777" w:rsidR="000B2393" w:rsidRDefault="000B2393" w:rsidP="00A418E0">
    <w:pPr>
      <w:jc w:val="both"/>
      <w:rPr>
        <w:rFonts w:ascii="Arial" w:eastAsia="Arial" w:hAnsi="Arial" w:cs="Arial"/>
        <w:sz w:val="18"/>
        <w:szCs w:val="18"/>
      </w:rPr>
    </w:pPr>
  </w:p>
  <w:p w14:paraId="269BDCBA" w14:textId="77777777" w:rsidR="000B2393" w:rsidRPr="004918AB" w:rsidRDefault="000B2393" w:rsidP="00A418E0">
    <w:pPr>
      <w:jc w:val="both"/>
      <w:rPr>
        <w:i/>
        <w:sz w:val="21"/>
        <w:szCs w:val="21"/>
      </w:rPr>
    </w:pPr>
  </w:p>
  <w:p w14:paraId="08FBAC3F" w14:textId="41D6C4F3" w:rsidR="000B2393" w:rsidRPr="004918AB" w:rsidRDefault="000B2393" w:rsidP="0001290F">
    <w:pPr>
      <w:pStyle w:val="Footer"/>
      <w:tabs>
        <w:tab w:val="clear" w:pos="4320"/>
        <w:tab w:val="center" w:pos="4680"/>
      </w:tabs>
      <w:autoSpaceDE/>
      <w:autoSpaceDN/>
      <w:adjustRightInd/>
      <w:rPr>
        <w:rFonts w:ascii="Arial" w:hAnsi="Arial" w:cs="Arial"/>
      </w:rPr>
    </w:pPr>
    <w:r w:rsidRPr="004918AB">
      <w:rPr>
        <w:rFonts w:ascii="Arial" w:hAnsi="Arial" w:cs="Arial"/>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EB76" w14:textId="520835DF" w:rsidR="000B2393" w:rsidRPr="00DD2457" w:rsidRDefault="000B2393" w:rsidP="005B1515">
    <w:pPr>
      <w:pStyle w:val="Footer"/>
      <w:tabs>
        <w:tab w:val="clear" w:pos="4320"/>
        <w:tab w:val="center" w:pos="4680"/>
        <w:tab w:val="right" w:pos="9360"/>
      </w:tabs>
      <w:autoSpaceDE/>
      <w:autoSpaceDN/>
      <w:adjustRightInd/>
      <w:spacing w:after="240"/>
      <w:rPr>
        <w:smallCaps/>
        <w:sz w:val="20"/>
        <w:szCs w:val="20"/>
      </w:rPr>
    </w:pPr>
    <w:r>
      <w:rPr>
        <w:smallCaps/>
        <w:sz w:val="20"/>
        <w:szCs w:val="20"/>
      </w:rPr>
      <w:tab/>
      <w:t>Signature Page to Term Sheet</w:t>
    </w:r>
    <w:r>
      <w:rPr>
        <w:smallCaps/>
        <w:sz w:val="20"/>
        <w:szCs w:val="20"/>
      </w:rPr>
      <w:tab/>
    </w:r>
  </w:p>
  <w:p w14:paraId="530BF664" w14:textId="674E884C" w:rsidR="000B2393" w:rsidRPr="00DD2457" w:rsidRDefault="000B2393" w:rsidP="000B2393">
    <w:pPr>
      <w:pStyle w:val="Footer"/>
      <w:tabs>
        <w:tab w:val="clear" w:pos="4320"/>
        <w:tab w:val="clear" w:pos="10440"/>
        <w:tab w:val="center" w:pos="4680"/>
      </w:tabs>
      <w:autoSpaceDE/>
      <w:autoSpaceDN/>
      <w:adjustRightInd/>
    </w:pPr>
    <w:r>
      <w:rPr>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1497475"/>
      <w:docPartObj>
        <w:docPartGallery w:val="Page Numbers (Bottom of Page)"/>
        <w:docPartUnique/>
      </w:docPartObj>
    </w:sdtPr>
    <w:sdtContent>
      <w:p w14:paraId="3191CC54" w14:textId="4C67E731" w:rsidR="000B2393" w:rsidRDefault="000B2393" w:rsidP="000B23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5D740F" w14:textId="3CAB3155" w:rsidR="000B2393" w:rsidRPr="00DD2457" w:rsidRDefault="000B2393" w:rsidP="00DD2457">
    <w:pPr>
      <w:pStyle w:val="Footer"/>
      <w:tabs>
        <w:tab w:val="clear" w:pos="4320"/>
        <w:tab w:val="center" w:pos="4680"/>
      </w:tabs>
      <w:autoSpaceDE/>
      <w:autoSpaceDN/>
      <w:adjustRightI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CA8D" w14:textId="77777777" w:rsidR="009E259E" w:rsidRDefault="009E259E" w:rsidP="00DD2457">
      <w:r>
        <w:separator/>
      </w:r>
    </w:p>
  </w:footnote>
  <w:footnote w:type="continuationSeparator" w:id="0">
    <w:p w14:paraId="479F3462" w14:textId="77777777" w:rsidR="009E259E" w:rsidRDefault="009E259E" w:rsidP="00DD2457">
      <w:r>
        <w:continuationSeparator/>
      </w:r>
    </w:p>
  </w:footnote>
  <w:footnote w:type="continuationNotice" w:id="1">
    <w:p w14:paraId="1DE6620F" w14:textId="77777777" w:rsidR="009E259E" w:rsidRDefault="009E259E"/>
  </w:footnote>
  <w:footnote w:id="2">
    <w:p w14:paraId="0C888599" w14:textId="77777777" w:rsidR="00F6758C" w:rsidRPr="00F6758C" w:rsidRDefault="00F6758C" w:rsidP="00F6758C">
      <w:pPr>
        <w:pStyle w:val="FootnoteText"/>
        <w:rPr>
          <w:lang w:val="en-ZA"/>
        </w:rPr>
      </w:pPr>
      <w:r>
        <w:rPr>
          <w:rStyle w:val="FootnoteReference"/>
        </w:rPr>
        <w:footnoteRef/>
      </w:r>
      <w:r>
        <w:t xml:space="preserve"> </w:t>
      </w:r>
      <w:r>
        <w:rPr>
          <w:lang w:val="en-ZA"/>
        </w:rPr>
        <w:t>In some cases it may be useful to describe an "</w:t>
      </w:r>
      <w:r w:rsidRPr="00D15BE7">
        <w:rPr>
          <w:lang w:val="en-ZA"/>
        </w:rPr>
        <w:t>Applicable Exchange Rate</w:t>
      </w:r>
      <w:r>
        <w:rPr>
          <w:lang w:val="en-ZA"/>
        </w:rPr>
        <w:t>". The term sheet can then specify that on any</w:t>
      </w:r>
      <w:r w:rsidRPr="00D15BE7">
        <w:rPr>
          <w:lang w:val="en-ZA"/>
        </w:rPr>
        <w:t xml:space="preserve"> conversion of one currency to another, the applicable exchange rate will be the 90-day average exchange rate as quoted on</w:t>
      </w:r>
      <w:r>
        <w:rPr>
          <w:lang w:val="en-ZA"/>
        </w:rPr>
        <w:t xml:space="preserve"> </w:t>
      </w:r>
      <w:r w:rsidRPr="00D15BE7">
        <w:rPr>
          <w:lang w:val="en-ZA"/>
        </w:rPr>
        <w:t>the Selected Historical Rates screen on the South African Reserve Bank’s website at 17:00 (South African Standard Time) on the Business</w:t>
      </w:r>
      <w:r>
        <w:rPr>
          <w:lang w:val="en-ZA"/>
        </w:rPr>
        <w:t xml:space="preserve"> </w:t>
      </w:r>
      <w:r w:rsidRPr="00D15BE7">
        <w:rPr>
          <w:lang w:val="en-ZA"/>
        </w:rPr>
        <w:t>Day immediately prior to the relevant date of determination.</w:t>
      </w:r>
      <w:r>
        <w:rPr>
          <w:lang w:val="en-ZA"/>
        </w:rPr>
        <w:t xml:space="preserve"> This level of detail is typically reserved for the transaction documents.</w:t>
      </w:r>
    </w:p>
  </w:footnote>
  <w:footnote w:id="3">
    <w:p w14:paraId="5258F376" w14:textId="0971964E" w:rsidR="00F36F25" w:rsidRDefault="00F36F25">
      <w:pPr>
        <w:pStyle w:val="FootnoteText"/>
      </w:pPr>
      <w:r>
        <w:rPr>
          <w:rStyle w:val="FootnoteReference"/>
        </w:rPr>
        <w:footnoteRef/>
      </w:r>
      <w:r>
        <w:t xml:space="preserve"> </w:t>
      </w:r>
      <w:r w:rsidRPr="00F36F25">
        <w:rPr>
          <w:rFonts w:eastAsia="Calibri"/>
          <w:iCs/>
          <w:lang w:val="en-CA"/>
        </w:rPr>
        <w:t xml:space="preserve">Fully Diluted: The fully diluted </w:t>
      </w:r>
      <w:r>
        <w:rPr>
          <w:rFonts w:eastAsia="Calibri"/>
          <w:iCs/>
          <w:lang w:val="en-CA"/>
        </w:rPr>
        <w:t xml:space="preserve">share </w:t>
      </w:r>
      <w:r w:rsidRPr="00F36F25">
        <w:rPr>
          <w:rFonts w:eastAsia="Calibri"/>
          <w:iCs/>
          <w:lang w:val="en-CA"/>
        </w:rPr>
        <w:t>capital of the Company means all the shares in issuance and also all the shares which the Company is obliged to issue for any reason whatsoever</w:t>
      </w:r>
      <w:r w:rsidR="00823189">
        <w:rPr>
          <w:rFonts w:eastAsia="Calibri"/>
          <w:iCs/>
          <w:lang w:val="en-CA"/>
        </w:rPr>
        <w:t xml:space="preserve"> (e.g. </w:t>
      </w:r>
      <w:r w:rsidR="00C44739">
        <w:rPr>
          <w:rFonts w:eastAsia="Calibri"/>
          <w:iCs/>
          <w:lang w:val="en-CA"/>
        </w:rPr>
        <w:t xml:space="preserve">conversion </w:t>
      </w:r>
      <w:r w:rsidR="00823189">
        <w:rPr>
          <w:rFonts w:eastAsia="Calibri"/>
          <w:iCs/>
          <w:lang w:val="en-CA"/>
        </w:rPr>
        <w:t>options, convertible loans, SAFEs, etc.)</w:t>
      </w:r>
      <w:r>
        <w:rPr>
          <w:rFonts w:eastAsia="Calibri"/>
          <w:iCs/>
          <w:lang w:val="en-CA"/>
        </w:rPr>
        <w:t xml:space="preserve"> </w:t>
      </w:r>
      <w:r w:rsidR="00823189">
        <w:rPr>
          <w:rFonts w:eastAsia="Calibri"/>
          <w:iCs/>
          <w:lang w:val="en-CA"/>
        </w:rPr>
        <w:t>We recommend that</w:t>
      </w:r>
      <w:r>
        <w:rPr>
          <w:rFonts w:eastAsia="Calibri"/>
          <w:iCs/>
          <w:lang w:val="en-CA"/>
        </w:rPr>
        <w:t xml:space="preserve"> Company’s Fully Diluted pre-money and post-money capitalization tables are </w:t>
      </w:r>
      <w:r w:rsidRPr="00F36F25">
        <w:rPr>
          <w:rFonts w:eastAsia="Calibri"/>
          <w:iCs/>
          <w:lang w:val="en-CA"/>
        </w:rPr>
        <w:t xml:space="preserve">described in pre-investment Cap Table in Annexure </w:t>
      </w:r>
      <w:r>
        <w:rPr>
          <w:rFonts w:eastAsia="Calibri"/>
          <w:iCs/>
          <w:lang w:val="en-CA"/>
        </w:rPr>
        <w:t>C</w:t>
      </w:r>
      <w:r w:rsidRPr="00F36F25">
        <w:rPr>
          <w:rFonts w:eastAsia="Calibri"/>
          <w:iCs/>
          <w:lang w:val="en-CA"/>
        </w:rPr>
        <w:t>.</w:t>
      </w:r>
    </w:p>
  </w:footnote>
  <w:footnote w:id="4">
    <w:p w14:paraId="29DD167C" w14:textId="455917DA" w:rsidR="00D15BE7" w:rsidRPr="00F6758C" w:rsidRDefault="00D15BE7">
      <w:pPr>
        <w:pStyle w:val="FootnoteText"/>
        <w:rPr>
          <w:lang w:val="en-ZA"/>
        </w:rPr>
      </w:pPr>
      <w:r>
        <w:rPr>
          <w:rStyle w:val="FootnoteReference"/>
        </w:rPr>
        <w:footnoteRef/>
      </w:r>
      <w:r>
        <w:t xml:space="preserve"> </w:t>
      </w:r>
      <w:r>
        <w:rPr>
          <w:lang w:val="en-ZA"/>
        </w:rPr>
        <w:t>The parties will need to specify any tranching of the investment, milestones (if applicable) and use of funds on a case-by-case basis.</w:t>
      </w:r>
    </w:p>
  </w:footnote>
  <w:footnote w:id="5">
    <w:p w14:paraId="758979CE" w14:textId="0581111B" w:rsidR="00FD5875" w:rsidRPr="004D4906" w:rsidRDefault="00FD5875">
      <w:pPr>
        <w:pStyle w:val="FootnoteText"/>
        <w:rPr>
          <w:lang w:val="en-ZA"/>
        </w:rPr>
      </w:pPr>
      <w:r>
        <w:rPr>
          <w:rStyle w:val="FootnoteReference"/>
        </w:rPr>
        <w:footnoteRef/>
      </w:r>
      <w:r>
        <w:t xml:space="preserve"> </w:t>
      </w:r>
      <w:r w:rsidRPr="00FD5875">
        <w:t xml:space="preserve">The </w:t>
      </w:r>
      <w:r w:rsidR="00AC25D1">
        <w:t>Company</w:t>
      </w:r>
      <w:r w:rsidRPr="00FD5875">
        <w:t xml:space="preserve"> may well have various convertible instruments, so preparing a fully diluted/as converted cap table on a fully diluted cap table (on a pre- and post- money basis) is good practice for the </w:t>
      </w:r>
      <w:r w:rsidR="00AC25D1">
        <w:t>Company</w:t>
      </w:r>
      <w:r w:rsidRPr="00FD5875">
        <w:t xml:space="preserve"> to prepare, so that all parties are clear on their post investment shareholding.</w:t>
      </w:r>
    </w:p>
  </w:footnote>
  <w:footnote w:id="6">
    <w:p w14:paraId="08F61D64" w14:textId="7926429C" w:rsidR="006F48F1" w:rsidRPr="00A166F4" w:rsidRDefault="006F48F1">
      <w:pPr>
        <w:pStyle w:val="FootnoteText"/>
        <w:rPr>
          <w:lang w:val="en-ZA"/>
        </w:rPr>
      </w:pPr>
      <w:r>
        <w:rPr>
          <w:rStyle w:val="FootnoteReference"/>
        </w:rPr>
        <w:footnoteRef/>
      </w:r>
      <w:r>
        <w:t xml:space="preserve"> </w:t>
      </w:r>
      <w:r w:rsidR="008A3358">
        <w:t xml:space="preserve">If an ESOP or Phantom Share scheme is required, then the parties should be clear on whether this is affects the </w:t>
      </w:r>
      <w:r w:rsidR="008A3358" w:rsidRPr="006F48F1">
        <w:t>pre-money or post-money valuation</w:t>
      </w:r>
      <w:r w:rsidR="008A3358">
        <w:t>.  See “Pre-Money Value” section above.  If it is part of the Pre-Money Value, that means the ESOP or Phantom Scheme dilutes only the shareholders who exist prior to the investment</w:t>
      </w:r>
      <w:r w:rsidR="00A166F4">
        <w:t xml:space="preserve"> (not the investor)</w:t>
      </w:r>
      <w:r w:rsidR="008A3358">
        <w:t xml:space="preserve">. </w:t>
      </w:r>
      <w:r w:rsidR="00F6758C">
        <w:t>If the chosen</w:t>
      </w:r>
      <w:r>
        <w:t xml:space="preserve"> wording </w:t>
      </w:r>
      <w:r w:rsidR="00F6758C">
        <w:t xml:space="preserve">implies </w:t>
      </w:r>
      <w:r>
        <w:t>that the ESOP</w:t>
      </w:r>
      <w:r w:rsidR="00A166F4">
        <w:t xml:space="preserve">/Phantom </w:t>
      </w:r>
      <w:r>
        <w:t>shares are deemed to have been issued</w:t>
      </w:r>
      <w:r w:rsidR="00F6758C">
        <w:t xml:space="preserve">, then they </w:t>
      </w:r>
      <w:r>
        <w:t>should be reflected in the post-closing capitalisation table.</w:t>
      </w:r>
      <w:r w:rsidRPr="006F48F1">
        <w:t xml:space="preserve"> </w:t>
      </w:r>
      <w:r>
        <w:t>Also</w:t>
      </w:r>
      <w:r w:rsidRPr="006F48F1">
        <w:t xml:space="preserve"> consider including a provision for a warranted </w:t>
      </w:r>
      <w:r>
        <w:t>"</w:t>
      </w:r>
      <w:r w:rsidRPr="006F48F1">
        <w:t>shadow cap table</w:t>
      </w:r>
      <w:r>
        <w:t>"</w:t>
      </w:r>
      <w:r w:rsidRPr="006F48F1">
        <w:t xml:space="preserve"> that models the full economic impact of phantom or other synthetic equity schemes</w:t>
      </w:r>
      <w:r>
        <w:t xml:space="preserve"> (if relevant)</w:t>
      </w:r>
      <w:r w:rsidRPr="006F48F1">
        <w:t>.</w:t>
      </w:r>
      <w:r>
        <w:t xml:space="preserve"> </w:t>
      </w:r>
    </w:p>
  </w:footnote>
  <w:footnote w:id="7">
    <w:p w14:paraId="6E31A240" w14:textId="1A041591" w:rsidR="005E1F12" w:rsidRPr="005E1F12" w:rsidRDefault="005E1F12" w:rsidP="005E1F12">
      <w:pPr>
        <w:pStyle w:val="FootnoteText"/>
        <w:rPr>
          <w:lang w:val="en-ZA"/>
        </w:rPr>
      </w:pPr>
      <w:r>
        <w:rPr>
          <w:rStyle w:val="FootnoteReference"/>
        </w:rPr>
        <w:footnoteRef/>
      </w:r>
      <w:r>
        <w:t xml:space="preserve"> </w:t>
      </w:r>
      <w:r>
        <w:rPr>
          <w:lang w:val="en-ZA"/>
        </w:rPr>
        <w:t>In the South African market Alternative 1 seems to be the most common and most appropriate, but we have retained other options as these may be relevant in a specific context. Essentially:</w:t>
      </w:r>
    </w:p>
    <w:p w14:paraId="2474E629" w14:textId="77777777" w:rsidR="005E1F12" w:rsidRDefault="005E1F12" w:rsidP="005E1F12">
      <w:pPr>
        <w:pStyle w:val="FootnoteText"/>
        <w:numPr>
          <w:ilvl w:val="0"/>
          <w:numId w:val="53"/>
        </w:numPr>
        <w:rPr>
          <w:lang w:val="en-ZA"/>
        </w:rPr>
      </w:pPr>
      <w:r w:rsidRPr="005E1F12">
        <w:rPr>
          <w:lang w:val="en-ZA"/>
        </w:rPr>
        <w:t xml:space="preserve">Stipulated preferential dividends </w:t>
      </w:r>
      <w:r>
        <w:rPr>
          <w:lang w:val="en-ZA"/>
        </w:rPr>
        <w:t>for early stage companies</w:t>
      </w:r>
      <w:r w:rsidRPr="005E1F12">
        <w:rPr>
          <w:lang w:val="en-ZA"/>
        </w:rPr>
        <w:t xml:space="preserve"> are unusual. </w:t>
      </w:r>
    </w:p>
    <w:p w14:paraId="50868C8B" w14:textId="4BD6643D" w:rsidR="005E1F12" w:rsidRDefault="005E1F12" w:rsidP="005E1F12">
      <w:pPr>
        <w:pStyle w:val="FootnoteText"/>
        <w:numPr>
          <w:ilvl w:val="0"/>
          <w:numId w:val="53"/>
        </w:numPr>
        <w:rPr>
          <w:lang w:val="en-ZA"/>
        </w:rPr>
      </w:pPr>
      <w:r w:rsidRPr="005E1F12">
        <w:rPr>
          <w:lang w:val="en-ZA"/>
        </w:rPr>
        <w:t xml:space="preserve">Alternative 2 is occasionally adopted but really just to ensure that </w:t>
      </w:r>
      <w:r w:rsidRPr="00A166F4">
        <w:rPr>
          <w:u w:val="single"/>
          <w:lang w:val="en-ZA"/>
        </w:rPr>
        <w:t>if</w:t>
      </w:r>
      <w:r w:rsidRPr="005E1F12">
        <w:rPr>
          <w:lang w:val="en-ZA"/>
        </w:rPr>
        <w:t xml:space="preserve"> the Founder team have the right to declare dividends, then the investors receive th</w:t>
      </w:r>
      <w:r w:rsidR="00A166F4">
        <w:rPr>
          <w:lang w:val="en-ZA"/>
        </w:rPr>
        <w:t xml:space="preserve">eir </w:t>
      </w:r>
      <w:r w:rsidRPr="005E1F12">
        <w:rPr>
          <w:lang w:val="en-ZA"/>
        </w:rPr>
        <w:t xml:space="preserve">dividends in priority.  </w:t>
      </w:r>
    </w:p>
    <w:p w14:paraId="4994723E" w14:textId="06F527ED" w:rsidR="005E1F12" w:rsidRPr="00A166F4" w:rsidRDefault="005E1F12" w:rsidP="00A166F4">
      <w:pPr>
        <w:pStyle w:val="FootnoteText"/>
        <w:numPr>
          <w:ilvl w:val="0"/>
          <w:numId w:val="53"/>
        </w:numPr>
        <w:rPr>
          <w:lang w:val="en-ZA"/>
        </w:rPr>
      </w:pPr>
      <w:r w:rsidRPr="005E1F12">
        <w:rPr>
          <w:lang w:val="en-ZA"/>
        </w:rPr>
        <w:t>Alternative 3 is unusual, and a red flag for revenue-scarce start</w:t>
      </w:r>
      <w:r>
        <w:rPr>
          <w:lang w:val="en-ZA"/>
        </w:rPr>
        <w:t>-</w:t>
      </w:r>
      <w:r w:rsidRPr="005E1F12">
        <w:rPr>
          <w:lang w:val="en-ZA"/>
        </w:rPr>
        <w:t>ups.</w:t>
      </w:r>
    </w:p>
  </w:footnote>
  <w:footnote w:id="8">
    <w:p w14:paraId="5ED90E8C" w14:textId="27BAFB15" w:rsidR="00467B0E" w:rsidRDefault="00467B0E">
      <w:pPr>
        <w:pStyle w:val="FootnoteText"/>
      </w:pPr>
      <w:r>
        <w:rPr>
          <w:rStyle w:val="FootnoteReference"/>
        </w:rPr>
        <w:footnoteRef/>
      </w:r>
      <w:r>
        <w:t xml:space="preserve"> Changed from the US term “Liquidation Preference”, given that in the US liquidation seems to mean “value realization” as well as insolvency, where as in South Africa it really means insolvency of the </w:t>
      </w:r>
      <w:r w:rsidR="00AC25D1">
        <w:t>Company</w:t>
      </w:r>
      <w:r>
        <w:t xml:space="preserve">. </w:t>
      </w:r>
      <w:r w:rsidR="005E1F12">
        <w:t xml:space="preserve">In the South African market Alternative 1 </w:t>
      </w:r>
      <w:r w:rsidR="005E1F12">
        <w:rPr>
          <w:lang w:val="en-ZA"/>
        </w:rPr>
        <w:t>seems to be the most common and most appropriate, but the other alternatives may be used in a specific context. In some cases a higher non-participating liquidity preference (such as 1.5x) could be applicable, but this is not the norm in the industry and will need to be specifically motivated.</w:t>
      </w:r>
      <w:r w:rsidR="00D15BE7">
        <w:rPr>
          <w:lang w:val="en-ZA"/>
        </w:rPr>
        <w:t xml:space="preserve"> It may also be advisable in some cases to include a distribution waterfall that follows the model applied in funds to ensure that the economics applied in the company track to the fund's returns, but this is not our </w:t>
      </w:r>
      <w:r w:rsidR="00A166F4">
        <w:rPr>
          <w:lang w:val="en-ZA"/>
        </w:rPr>
        <w:t>starting</w:t>
      </w:r>
      <w:r w:rsidR="00D15BE7">
        <w:rPr>
          <w:lang w:val="en-ZA"/>
        </w:rPr>
        <w:t xml:space="preserve"> point given that fund economics may differ and it may also not be appropriate in contexts where investors other than venture capital funds engage in these investments.</w:t>
      </w:r>
    </w:p>
  </w:footnote>
  <w:footnote w:id="9">
    <w:p w14:paraId="0A696931" w14:textId="13B25BD6" w:rsidR="00F74385" w:rsidRPr="00A166F4" w:rsidRDefault="00F74385">
      <w:pPr>
        <w:pStyle w:val="FootnoteText"/>
        <w:rPr>
          <w:lang w:val="en-ZA"/>
        </w:rPr>
      </w:pPr>
      <w:r>
        <w:rPr>
          <w:rStyle w:val="FootnoteReference"/>
        </w:rPr>
        <w:footnoteRef/>
      </w:r>
      <w:r>
        <w:t xml:space="preserve"> If there are more than one class of preferred shares, it may be best attaching a schedule to the term sheet indicating the application of the liquidity preferences in the order of preference. </w:t>
      </w:r>
      <w:r w:rsidR="00A166F4">
        <w:t>Often</w:t>
      </w:r>
      <w:r>
        <w:t xml:space="preserve"> </w:t>
      </w:r>
      <w:r w:rsidR="00A166F4">
        <w:t xml:space="preserve">newer classes of </w:t>
      </w:r>
      <w:r>
        <w:t xml:space="preserve">preferred shares will rank </w:t>
      </w:r>
      <w:r w:rsidR="00A166F4">
        <w:t xml:space="preserve">more senior (receive their liquidity preference first) than than older </w:t>
      </w:r>
      <w:r>
        <w:t>class</w:t>
      </w:r>
      <w:r w:rsidR="00A166F4">
        <w:t>es</w:t>
      </w:r>
      <w:r>
        <w:t xml:space="preserve"> of preferred shares. </w:t>
      </w:r>
      <w:r w:rsidR="00A166F4">
        <w:t>However, i</w:t>
      </w:r>
      <w:r>
        <w:t>n some cases existing preferred shares may rank equally with the new preferred shares, but this depends on context such as the timing</w:t>
      </w:r>
      <w:r w:rsidR="00A166F4">
        <w:t>,</w:t>
      </w:r>
      <w:r>
        <w:t xml:space="preserve"> </w:t>
      </w:r>
      <w:r w:rsidR="00A166F4">
        <w:t xml:space="preserve">relative risk exposure </w:t>
      </w:r>
      <w:r>
        <w:t>and valuation of the latest round compared to previous rounds.</w:t>
      </w:r>
    </w:p>
  </w:footnote>
  <w:footnote w:id="10">
    <w:p w14:paraId="1131AE64" w14:textId="7A54180E" w:rsidR="00AE2F64" w:rsidRPr="004D4906" w:rsidRDefault="00AE2F64">
      <w:pPr>
        <w:pStyle w:val="FootnoteText"/>
        <w:rPr>
          <w:lang w:val="en-ZA"/>
        </w:rPr>
      </w:pPr>
      <w:r>
        <w:rPr>
          <w:rStyle w:val="FootnoteReference"/>
        </w:rPr>
        <w:footnoteRef/>
      </w:r>
      <w:r>
        <w:t xml:space="preserve"> </w:t>
      </w:r>
      <w:r>
        <w:rPr>
          <w:lang w:val="en-ZA"/>
        </w:rPr>
        <w:t>“</w:t>
      </w:r>
      <w:r w:rsidR="00745410">
        <w:rPr>
          <w:lang w:val="en-ZA"/>
        </w:rPr>
        <w:t>N</w:t>
      </w:r>
      <w:r>
        <w:rPr>
          <w:lang w:val="en-ZA"/>
        </w:rPr>
        <w:t xml:space="preserve">on-participating” really means </w:t>
      </w:r>
      <w:r w:rsidR="00745410">
        <w:rPr>
          <w:lang w:val="en-ZA"/>
        </w:rPr>
        <w:t xml:space="preserve">that upon a Liquidity Event, </w:t>
      </w:r>
      <w:r>
        <w:rPr>
          <w:lang w:val="en-ZA"/>
        </w:rPr>
        <w:t xml:space="preserve">the </w:t>
      </w:r>
      <w:r w:rsidR="00AC25D1">
        <w:rPr>
          <w:lang w:val="en-ZA"/>
        </w:rPr>
        <w:t>Investor</w:t>
      </w:r>
      <w:r>
        <w:rPr>
          <w:lang w:val="en-ZA"/>
        </w:rPr>
        <w:t xml:space="preserve"> </w:t>
      </w:r>
      <w:r w:rsidR="00745410">
        <w:rPr>
          <w:lang w:val="en-ZA"/>
        </w:rPr>
        <w:t xml:space="preserve">is given </w:t>
      </w:r>
      <w:r>
        <w:rPr>
          <w:lang w:val="en-ZA"/>
        </w:rPr>
        <w:t xml:space="preserve">a choice: get [1x] cash back, or the equity value of its shares. </w:t>
      </w:r>
      <w:r w:rsidR="007A5B17">
        <w:rPr>
          <w:lang w:val="en-ZA"/>
        </w:rPr>
        <w:t>“</w:t>
      </w:r>
      <w:r w:rsidR="00745410">
        <w:rPr>
          <w:lang w:val="en-ZA"/>
        </w:rPr>
        <w:t>P</w:t>
      </w:r>
      <w:r w:rsidR="007A5B17">
        <w:rPr>
          <w:lang w:val="en-ZA"/>
        </w:rPr>
        <w:t xml:space="preserve">articipating” on the other hand gives the </w:t>
      </w:r>
      <w:r w:rsidR="00AC25D1">
        <w:rPr>
          <w:lang w:val="en-ZA"/>
        </w:rPr>
        <w:t>Investor</w:t>
      </w:r>
      <w:r w:rsidR="007A5B17">
        <w:rPr>
          <w:lang w:val="en-ZA"/>
        </w:rPr>
        <w:t xml:space="preserve"> a “double dip” – i.e. get cash back AND then participate in the </w:t>
      </w:r>
      <w:r w:rsidR="00467B0E">
        <w:rPr>
          <w:lang w:val="en-ZA"/>
        </w:rPr>
        <w:t xml:space="preserve">remaining </w:t>
      </w:r>
      <w:r w:rsidR="007A5B17">
        <w:rPr>
          <w:lang w:val="en-ZA"/>
        </w:rPr>
        <w:t xml:space="preserve">equity value </w:t>
      </w:r>
      <w:r w:rsidR="00467B0E">
        <w:rPr>
          <w:lang w:val="en-ZA"/>
        </w:rPr>
        <w:t>of the Company in proportion to the Investor’s shareholding</w:t>
      </w:r>
      <w:r w:rsidR="007A5B17">
        <w:rPr>
          <w:lang w:val="en-ZA"/>
        </w:rPr>
        <w:t xml:space="preserve">. The latter is unusual in standard VC deals. </w:t>
      </w:r>
      <w:r w:rsidR="00745410">
        <w:rPr>
          <w:lang w:val="en-ZA"/>
        </w:rPr>
        <w:t xml:space="preserve"> </w:t>
      </w:r>
    </w:p>
  </w:footnote>
  <w:footnote w:id="11">
    <w:p w14:paraId="4255B835" w14:textId="081EC20E" w:rsidR="007A5B17" w:rsidRPr="004D4906" w:rsidRDefault="007A5B17">
      <w:pPr>
        <w:pStyle w:val="FootnoteText"/>
        <w:rPr>
          <w:lang w:val="en-ZA"/>
        </w:rPr>
      </w:pPr>
      <w:r>
        <w:rPr>
          <w:rStyle w:val="FootnoteReference"/>
        </w:rPr>
        <w:footnoteRef/>
      </w:r>
      <w:r>
        <w:t xml:space="preserve"> </w:t>
      </w:r>
      <w:r>
        <w:rPr>
          <w:lang w:val="en-ZA"/>
        </w:rPr>
        <w:t xml:space="preserve">1x liquidation preference is by far the most common. </w:t>
      </w:r>
      <w:r w:rsidR="00745410">
        <w:rPr>
          <w:lang w:val="en-ZA"/>
        </w:rPr>
        <w:t xml:space="preserve">Note though </w:t>
      </w:r>
      <w:r w:rsidR="00745410" w:rsidRPr="00A166F4">
        <w:rPr>
          <w:lang w:val="en-ZA"/>
        </w:rPr>
        <w:t xml:space="preserve">“Secrets of </w:t>
      </w:r>
      <w:r w:rsidRPr="00A166F4">
        <w:rPr>
          <w:lang w:val="en-ZA"/>
        </w:rPr>
        <w:t>Sand Hill Road</w:t>
      </w:r>
      <w:r w:rsidR="00745410" w:rsidRPr="00A166F4">
        <w:rPr>
          <w:lang w:val="en-ZA"/>
        </w:rPr>
        <w:t>”</w:t>
      </w:r>
      <w:r w:rsidR="00A166F4" w:rsidRPr="00A166F4">
        <w:rPr>
          <w:lang w:val="en-ZA"/>
        </w:rPr>
        <w:t>,</w:t>
      </w:r>
      <w:r w:rsidR="00A166F4">
        <w:rPr>
          <w:lang w:val="en-ZA"/>
        </w:rPr>
        <w:t xml:space="preserve"> Scott Kupor,</w:t>
      </w:r>
      <w:r w:rsidR="00745410">
        <w:rPr>
          <w:lang w:val="en-ZA"/>
        </w:rPr>
        <w:t xml:space="preserve"> </w:t>
      </w:r>
      <w:r>
        <w:rPr>
          <w:lang w:val="en-ZA"/>
        </w:rPr>
        <w:t xml:space="preserve"> p156</w:t>
      </w:r>
      <w:r w:rsidR="00467B0E">
        <w:rPr>
          <w:lang w:val="en-ZA"/>
        </w:rPr>
        <w:t xml:space="preserve"> </w:t>
      </w:r>
      <w:r>
        <w:rPr>
          <w:lang w:val="en-ZA"/>
        </w:rPr>
        <w:t>– higher liquidation preferences effectively increase the required exit price</w:t>
      </w:r>
      <w:r w:rsidR="00745410">
        <w:rPr>
          <w:lang w:val="en-ZA"/>
        </w:rPr>
        <w:t xml:space="preserve">. However, </w:t>
      </w:r>
      <w:r w:rsidR="00467B0E">
        <w:rPr>
          <w:lang w:val="en-ZA"/>
        </w:rPr>
        <w:t xml:space="preserve">the book goes on to say that </w:t>
      </w:r>
      <w:r w:rsidR="00745410">
        <w:rPr>
          <w:lang w:val="en-ZA"/>
        </w:rPr>
        <w:t xml:space="preserve">this </w:t>
      </w:r>
      <w:r>
        <w:rPr>
          <w:lang w:val="en-ZA"/>
        </w:rPr>
        <w:t xml:space="preserve">may be useful to later </w:t>
      </w:r>
      <w:r w:rsidR="00AC25D1">
        <w:rPr>
          <w:lang w:val="en-ZA"/>
        </w:rPr>
        <w:t>Investor</w:t>
      </w:r>
      <w:r>
        <w:rPr>
          <w:lang w:val="en-ZA"/>
        </w:rPr>
        <w:t xml:space="preserve">s, to offset the different economic incentives of earlier </w:t>
      </w:r>
      <w:r w:rsidR="00AC25D1">
        <w:rPr>
          <w:lang w:val="en-ZA"/>
        </w:rPr>
        <w:t>Investor</w:t>
      </w:r>
      <w:r>
        <w:rPr>
          <w:lang w:val="en-ZA"/>
        </w:rPr>
        <w:t xml:space="preserve">s and employees who are motivated to sell the </w:t>
      </w:r>
      <w:r w:rsidR="00AC25D1">
        <w:rPr>
          <w:lang w:val="en-ZA"/>
        </w:rPr>
        <w:t>Company</w:t>
      </w:r>
      <w:r>
        <w:rPr>
          <w:lang w:val="en-ZA"/>
        </w:rPr>
        <w:t xml:space="preserve"> sooner or at more modest valuation. Therefor, increased liquidation preferences can be use</w:t>
      </w:r>
      <w:r w:rsidR="00745410">
        <w:rPr>
          <w:lang w:val="en-ZA"/>
        </w:rPr>
        <w:t>d</w:t>
      </w:r>
      <w:r>
        <w:rPr>
          <w:lang w:val="en-ZA"/>
        </w:rPr>
        <w:t xml:space="preserve"> by later </w:t>
      </w:r>
      <w:r w:rsidR="00AC25D1">
        <w:rPr>
          <w:lang w:val="en-ZA"/>
        </w:rPr>
        <w:t>Investor</w:t>
      </w:r>
      <w:r>
        <w:rPr>
          <w:lang w:val="en-ZA"/>
        </w:rPr>
        <w:t>s to align all stakeholder interests (to achieve an aligned, higher valuation)</w:t>
      </w:r>
      <w:r w:rsidR="00745410">
        <w:rPr>
          <w:lang w:val="en-ZA"/>
        </w:rPr>
        <w:t xml:space="preserve">. </w:t>
      </w:r>
    </w:p>
  </w:footnote>
  <w:footnote w:id="12">
    <w:p w14:paraId="76F45FB1" w14:textId="64FB637F" w:rsidR="00701EC6" w:rsidRDefault="00701EC6">
      <w:pPr>
        <w:pStyle w:val="FootnoteText"/>
      </w:pPr>
      <w:r>
        <w:rPr>
          <w:rStyle w:val="FootnoteReference"/>
        </w:rPr>
        <w:footnoteRef/>
      </w:r>
      <w:r>
        <w:t xml:space="preserve"> Practically, each of an Investor’s Series A Shares will convert into Ordinary Shares by dividing the Original Subscription Price paid by that Investor for those Series A Shares, by the Conversion Price </w:t>
      </w:r>
      <w:r w:rsidRPr="00701EC6">
        <w:t xml:space="preserve">(as defined below) </w:t>
      </w:r>
      <w:r>
        <w:t xml:space="preserve">applicable </w:t>
      </w:r>
      <w:r w:rsidRPr="00701EC6">
        <w:t>at the time of conversion.</w:t>
      </w:r>
      <w:r>
        <w:t xml:space="preserve">  </w:t>
      </w:r>
      <w:r w:rsidR="00826D30">
        <w:t>Initially the Investor receives 1 Ordinary Share for 1 Series A Share. However, i</w:t>
      </w:r>
      <w:r>
        <w:t>f the Conversion Price drops</w:t>
      </w:r>
      <w:r w:rsidR="00826D30">
        <w:t xml:space="preserve"> (e.g. upon a Down Round)</w:t>
      </w:r>
      <w:r>
        <w:t xml:space="preserve"> the Investor will receive more Ordinar</w:t>
      </w:r>
      <w:r w:rsidR="00826D30">
        <w:t xml:space="preserve">y Shares. </w:t>
      </w:r>
    </w:p>
  </w:footnote>
  <w:footnote w:id="13">
    <w:p w14:paraId="3A820559" w14:textId="188DC0D1" w:rsidR="001E7ED6" w:rsidRPr="004D4906" w:rsidRDefault="001E7ED6">
      <w:pPr>
        <w:pStyle w:val="FootnoteText"/>
        <w:rPr>
          <w:lang w:val="en-ZA"/>
        </w:rPr>
      </w:pPr>
      <w:r>
        <w:rPr>
          <w:rStyle w:val="FootnoteReference"/>
        </w:rPr>
        <w:footnoteRef/>
      </w:r>
      <w:r>
        <w:t xml:space="preserve"> </w:t>
      </w:r>
      <w:r w:rsidR="00C67D7D">
        <w:t xml:space="preserve">The second alternative </w:t>
      </w:r>
      <w:r w:rsidR="00C67D7D">
        <w:rPr>
          <w:lang w:val="en-ZA"/>
        </w:rPr>
        <w:t>allows for the option</w:t>
      </w:r>
      <w:r>
        <w:rPr>
          <w:lang w:val="en-ZA"/>
        </w:rPr>
        <w:t xml:space="preserve"> </w:t>
      </w:r>
      <w:r w:rsidR="00C67D7D">
        <w:rPr>
          <w:lang w:val="en-ZA"/>
        </w:rPr>
        <w:t xml:space="preserve">to be </w:t>
      </w:r>
      <w:r>
        <w:rPr>
          <w:lang w:val="en-ZA"/>
        </w:rPr>
        <w:t xml:space="preserve">elected by a majority of all preference </w:t>
      </w:r>
      <w:r w:rsidR="004D4906">
        <w:rPr>
          <w:lang w:val="en-ZA"/>
        </w:rPr>
        <w:t>Shareholder</w:t>
      </w:r>
      <w:r>
        <w:rPr>
          <w:lang w:val="en-ZA"/>
        </w:rPr>
        <w:t>s (relevant where there are different classes of shares). Th</w:t>
      </w:r>
      <w:r w:rsidR="00C67D7D">
        <w:rPr>
          <w:lang w:val="en-ZA"/>
        </w:rPr>
        <w:t xml:space="preserve">at </w:t>
      </w:r>
      <w:r>
        <w:rPr>
          <w:lang w:val="en-ZA"/>
        </w:rPr>
        <w:t>anticipates the</w:t>
      </w:r>
      <w:r w:rsidR="00341F4D">
        <w:rPr>
          <w:lang w:val="en-ZA"/>
        </w:rPr>
        <w:t xml:space="preserve"> practical process of converting </w:t>
      </w:r>
      <w:r>
        <w:rPr>
          <w:lang w:val="en-ZA"/>
        </w:rPr>
        <w:t xml:space="preserve">all preference shares </w:t>
      </w:r>
      <w:r w:rsidR="00341F4D">
        <w:rPr>
          <w:lang w:val="en-ZA"/>
        </w:rPr>
        <w:t xml:space="preserve">(e.g. </w:t>
      </w:r>
      <w:r>
        <w:rPr>
          <w:lang w:val="en-ZA"/>
        </w:rPr>
        <w:t>in a recapitalization</w:t>
      </w:r>
      <w:r w:rsidR="00341F4D">
        <w:rPr>
          <w:lang w:val="en-ZA"/>
        </w:rPr>
        <w:t>)</w:t>
      </w:r>
      <w:r>
        <w:rPr>
          <w:lang w:val="en-ZA"/>
        </w:rPr>
        <w:t xml:space="preserve"> </w:t>
      </w:r>
      <w:r w:rsidR="00341F4D">
        <w:rPr>
          <w:lang w:val="en-ZA"/>
        </w:rPr>
        <w:t xml:space="preserve">on the </w:t>
      </w:r>
      <w:r>
        <w:rPr>
          <w:lang w:val="en-ZA"/>
        </w:rPr>
        <w:t xml:space="preserve">decision </w:t>
      </w:r>
      <w:r w:rsidR="00341F4D">
        <w:rPr>
          <w:lang w:val="en-ZA"/>
        </w:rPr>
        <w:t xml:space="preserve">of </w:t>
      </w:r>
      <w:r>
        <w:rPr>
          <w:lang w:val="en-ZA"/>
        </w:rPr>
        <w:t xml:space="preserve">a majority of preferred </w:t>
      </w:r>
      <w:r w:rsidR="004D4906">
        <w:rPr>
          <w:lang w:val="en-ZA"/>
        </w:rPr>
        <w:t>Shareholder</w:t>
      </w:r>
      <w:r>
        <w:rPr>
          <w:lang w:val="en-ZA"/>
        </w:rPr>
        <w:t>s,</w:t>
      </w:r>
      <w:r w:rsidR="00341F4D">
        <w:rPr>
          <w:lang w:val="en-ZA"/>
        </w:rPr>
        <w:t xml:space="preserve"> avoiding the time</w:t>
      </w:r>
      <w:r w:rsidR="00C67D7D">
        <w:rPr>
          <w:lang w:val="en-ZA"/>
        </w:rPr>
        <w:t>-</w:t>
      </w:r>
      <w:r w:rsidR="00341F4D">
        <w:rPr>
          <w:lang w:val="en-ZA"/>
        </w:rPr>
        <w:t xml:space="preserve">consuming process of getting </w:t>
      </w:r>
      <w:r>
        <w:rPr>
          <w:lang w:val="en-ZA"/>
        </w:rPr>
        <w:t xml:space="preserve">consent of individual </w:t>
      </w:r>
      <w:r w:rsidR="00AC25D1">
        <w:rPr>
          <w:lang w:val="en-ZA"/>
        </w:rPr>
        <w:t>Investor</w:t>
      </w:r>
      <w:r>
        <w:rPr>
          <w:lang w:val="en-ZA"/>
        </w:rPr>
        <w:t>s</w:t>
      </w:r>
      <w:r w:rsidR="00341F4D">
        <w:rPr>
          <w:lang w:val="en-ZA"/>
        </w:rPr>
        <w:t xml:space="preserve">. Where there are multiple classes of preferred shares, the concept could be defined as a majority of all preferred </w:t>
      </w:r>
      <w:r w:rsidR="004D4906">
        <w:rPr>
          <w:lang w:val="en-ZA"/>
        </w:rPr>
        <w:t>Shareholder</w:t>
      </w:r>
      <w:r w:rsidR="00341F4D">
        <w:rPr>
          <w:lang w:val="en-ZA"/>
        </w:rPr>
        <w:t xml:space="preserve">s, voting as a single class. </w:t>
      </w:r>
      <w:r w:rsidR="00C67D7D">
        <w:rPr>
          <w:lang w:val="en-ZA"/>
        </w:rPr>
        <w:t xml:space="preserve">Secrets of </w:t>
      </w:r>
      <w:r>
        <w:rPr>
          <w:lang w:val="en-ZA"/>
        </w:rPr>
        <w:t>Sand Hill Road</w:t>
      </w:r>
      <w:r w:rsidR="00C67D7D">
        <w:rPr>
          <w:lang w:val="en-ZA"/>
        </w:rPr>
        <w:t xml:space="preserve">, page </w:t>
      </w:r>
      <w:r>
        <w:rPr>
          <w:lang w:val="en-ZA"/>
        </w:rPr>
        <w:t>305</w:t>
      </w:r>
      <w:r w:rsidR="00C67D7D">
        <w:rPr>
          <w:lang w:val="en-ZA"/>
        </w:rPr>
        <w:t xml:space="preserve">. </w:t>
      </w:r>
      <w:r w:rsidR="00341F4D">
        <w:rPr>
          <w:lang w:val="en-ZA"/>
        </w:rPr>
        <w:t xml:space="preserve"> </w:t>
      </w:r>
    </w:p>
  </w:footnote>
  <w:footnote w:id="14">
    <w:p w14:paraId="749975D7" w14:textId="2F17B803" w:rsidR="00C90FAD" w:rsidRDefault="00C90FAD">
      <w:pPr>
        <w:pStyle w:val="FootnoteText"/>
      </w:pPr>
      <w:r>
        <w:rPr>
          <w:rStyle w:val="FootnoteReference"/>
        </w:rPr>
        <w:footnoteRef/>
      </w:r>
      <w:r>
        <w:t xml:space="preserve"> This is practically implemented by setting a conversion price equal to the Subscription Price for each Series A</w:t>
      </w:r>
      <w:r w:rsidR="006C0960">
        <w:t xml:space="preserve"> Share</w:t>
      </w:r>
      <w:r>
        <w:t>. Conversion shares equals total investment divided by conversion price.</w:t>
      </w:r>
      <w:r w:rsidR="00C67D7D">
        <w:t xml:space="preserve"> The Conversion Price is then adjusted as appropriate for Down Rounds, capitalization issuances/share splits, etc. </w:t>
      </w:r>
    </w:p>
  </w:footnote>
  <w:footnote w:id="15">
    <w:p w14:paraId="518D99C5" w14:textId="510FE2C3" w:rsidR="00C90FAD" w:rsidRDefault="00C90FAD">
      <w:pPr>
        <w:pStyle w:val="FootnoteText"/>
      </w:pPr>
      <w:r>
        <w:rPr>
          <w:rStyle w:val="FootnoteReference"/>
        </w:rPr>
        <w:footnoteRef/>
      </w:r>
      <w:r>
        <w:t xml:space="preserve"> This effectively reduces the conversion price, resulting in the “as converted” number of shares held by the Investor increasing.</w:t>
      </w:r>
      <w:r w:rsidR="00341F4D">
        <w:t xml:space="preserve"> Investors immediately receive the equivalent voting and economic benefits of increased shareholding, without the need to issue more shares to them.  </w:t>
      </w:r>
      <w:r>
        <w:t xml:space="preserve"> </w:t>
      </w:r>
    </w:p>
  </w:footnote>
  <w:footnote w:id="16">
    <w:p w14:paraId="470818BA" w14:textId="4AB39220" w:rsidR="000B2393" w:rsidRDefault="000B2393" w:rsidP="003522A2">
      <w:pPr>
        <w:pStyle w:val="FootnoteText"/>
      </w:pPr>
      <w:r w:rsidRPr="00320527">
        <w:rPr>
          <w:rStyle w:val="FootnoteReference"/>
          <w:szCs w:val="24"/>
        </w:rPr>
        <w:footnoteRef/>
      </w:r>
      <w:r w:rsidRPr="00DC6329">
        <w:t xml:space="preserve">The </w:t>
      </w:r>
      <w:r>
        <w:t xml:space="preserve">most </w:t>
      </w:r>
      <w:r w:rsidRPr="00DC6329">
        <w:t>broad base</w:t>
      </w:r>
      <w:r>
        <w:t>d formula</w:t>
      </w:r>
      <w:r w:rsidRPr="00DC6329">
        <w:t xml:space="preserve"> would include shares reserved in the option pool</w:t>
      </w:r>
      <w:r>
        <w:t>; a narrower base would exclude options or other convertibles</w:t>
      </w:r>
      <w:r w:rsidRPr="00DC6329">
        <w:t>.</w:t>
      </w:r>
      <w:r>
        <w:t xml:space="preserve">  The formula above is the most typical.</w:t>
      </w:r>
    </w:p>
  </w:footnote>
  <w:footnote w:id="17">
    <w:p w14:paraId="0753CB4A" w14:textId="77777777" w:rsidR="007B4CA7" w:rsidRPr="00A86AFF" w:rsidRDefault="007B4CA7" w:rsidP="007B4CA7">
      <w:pPr>
        <w:pStyle w:val="FootnoteText"/>
        <w:rPr>
          <w:lang w:val="en-ZA"/>
        </w:rPr>
      </w:pPr>
      <w:r>
        <w:rPr>
          <w:rStyle w:val="FootnoteReference"/>
        </w:rPr>
        <w:footnoteRef/>
      </w:r>
      <w:r>
        <w:t xml:space="preserve"> I</w:t>
      </w:r>
      <w:r w:rsidRPr="00BB2710">
        <w:t xml:space="preserve">n South Africa, pre-emptive rights </w:t>
      </w:r>
      <w:r>
        <w:t xml:space="preserve">on share issuances </w:t>
      </w:r>
      <w:r w:rsidRPr="00BB2710">
        <w:t xml:space="preserve">are not </w:t>
      </w:r>
      <w:r>
        <w:t xml:space="preserve">typically </w:t>
      </w:r>
      <w:r w:rsidRPr="00BB2710">
        <w:t xml:space="preserve">restricted to shareholders with minimum shareholding percentages. However, </w:t>
      </w:r>
      <w:r>
        <w:t xml:space="preserve">it may be useful in some cases </w:t>
      </w:r>
      <w:r w:rsidRPr="00BB2710">
        <w:t xml:space="preserve">to restrict such rights to </w:t>
      </w:r>
      <w:r>
        <w:t>holders of a minimum percentage of shares</w:t>
      </w:r>
      <w:r w:rsidRPr="00BB2710">
        <w:t xml:space="preserve">. The reasoning is that a company may have numerous, very small shareholders who will all need to waive their pre-emptive rights in future funding rounds - potentially disrupting those rounds or creating administrative burdens for the Company. </w:t>
      </w:r>
      <w:r>
        <w:t>Parties can therefore c</w:t>
      </w:r>
      <w:r w:rsidRPr="00BB2710">
        <w:t>onsider the value of a minimum shareholding qualification for shareholders’ pre-emptive rights on new issues.</w:t>
      </w:r>
    </w:p>
  </w:footnote>
  <w:footnote w:id="18">
    <w:p w14:paraId="7D3C9FF2" w14:textId="1F3290AD" w:rsidR="00BB2710" w:rsidRPr="00A86AFF" w:rsidRDefault="00BB2710">
      <w:pPr>
        <w:pStyle w:val="FootnoteText"/>
        <w:rPr>
          <w:lang w:val="en-ZA"/>
        </w:rPr>
      </w:pPr>
      <w:r>
        <w:rPr>
          <w:rStyle w:val="FootnoteReference"/>
        </w:rPr>
        <w:footnoteRef/>
      </w:r>
      <w:r>
        <w:t xml:space="preserve"> </w:t>
      </w:r>
      <w:r>
        <w:rPr>
          <w:lang w:val="en-ZA"/>
        </w:rPr>
        <w:t>The norm is typically that at least one of the Preferred Directors need to approve certain matters. This restriction can be elevated to a level that requires each of the Preferred Directors to approve the matters, but this should be done with caution as it may result in overly restrictive governance protocols.</w:t>
      </w:r>
    </w:p>
  </w:footnote>
  <w:footnote w:id="19">
    <w:p w14:paraId="71028ADE" w14:textId="2B61905F" w:rsidR="00D15BE7" w:rsidRPr="00A86AFF" w:rsidRDefault="00D15BE7">
      <w:pPr>
        <w:pStyle w:val="FootnoteText"/>
        <w:rPr>
          <w:lang w:val="en-ZA"/>
        </w:rPr>
      </w:pPr>
      <w:r>
        <w:rPr>
          <w:rStyle w:val="FootnoteReference"/>
        </w:rPr>
        <w:footnoteRef/>
      </w:r>
      <w:r>
        <w:t xml:space="preserve"> </w:t>
      </w:r>
      <w:r>
        <w:rPr>
          <w:lang w:val="en-ZA"/>
        </w:rPr>
        <w:t xml:space="preserve">It may be appropriate on a case-by-case basis to restrict </w:t>
      </w:r>
      <w:r w:rsidR="00A86AFF">
        <w:rPr>
          <w:lang w:val="en-ZA"/>
        </w:rPr>
        <w:t xml:space="preserve">access or </w:t>
      </w:r>
      <w:r>
        <w:rPr>
          <w:lang w:val="en-ZA"/>
        </w:rPr>
        <w:t>information rights of minor shareholders (for practical purposes</w:t>
      </w:r>
      <w:r w:rsidR="00A86AFF">
        <w:rPr>
          <w:lang w:val="en-ZA"/>
        </w:rPr>
        <w:t>, where that information right go beyond the rights set out in the Companies Act</w:t>
      </w:r>
      <w:r>
        <w:rPr>
          <w:lang w:val="en-ZA"/>
        </w:rPr>
        <w:t>) or shareholders with conflicts of interests/competitors (to protect sensitive information from being accessed by competitors.</w:t>
      </w:r>
    </w:p>
  </w:footnote>
  <w:footnote w:id="20">
    <w:p w14:paraId="060E7C53" w14:textId="097059D7" w:rsidR="00BC2DCD" w:rsidRPr="00FC0191" w:rsidRDefault="00BC2DCD">
      <w:pPr>
        <w:pStyle w:val="FootnoteText"/>
        <w:rPr>
          <w:lang w:val="en-ZA"/>
        </w:rPr>
      </w:pPr>
      <w:r>
        <w:rPr>
          <w:rStyle w:val="FootnoteReference"/>
        </w:rPr>
        <w:footnoteRef/>
      </w:r>
      <w:r>
        <w:t xml:space="preserve"> Similar to pre-emptive rights on new share issuances, </w:t>
      </w:r>
      <w:r w:rsidRPr="00BB2710">
        <w:t xml:space="preserve">pre-emptive rights </w:t>
      </w:r>
      <w:r>
        <w:t xml:space="preserve">on share transfers </w:t>
      </w:r>
      <w:r w:rsidRPr="00BB2710">
        <w:t xml:space="preserve">are not </w:t>
      </w:r>
      <w:r>
        <w:t xml:space="preserve">typically </w:t>
      </w:r>
      <w:r w:rsidRPr="00BB2710">
        <w:t>restricted to shareholders with minimum shareholding percentages</w:t>
      </w:r>
      <w:r>
        <w:t>, but it may be useful to include a minimum shareholding threshold for the same reasons mentioned above.</w:t>
      </w:r>
    </w:p>
  </w:footnote>
  <w:footnote w:id="21">
    <w:p w14:paraId="69D49542" w14:textId="2576ED7C" w:rsidR="00D15BE7" w:rsidRPr="00FC0191" w:rsidRDefault="00D15BE7">
      <w:pPr>
        <w:pStyle w:val="FootnoteText"/>
        <w:rPr>
          <w:lang w:val="en-ZA"/>
        </w:rPr>
      </w:pPr>
      <w:r>
        <w:rPr>
          <w:rStyle w:val="FootnoteReference"/>
        </w:rPr>
        <w:footnoteRef/>
      </w:r>
      <w:r>
        <w:t xml:space="preserve"> </w:t>
      </w:r>
      <w:r>
        <w:rPr>
          <w:lang w:val="en-ZA"/>
        </w:rPr>
        <w:t>While the starting point for a drag along right is typically more than 50%, this can be increased on a case-by-case basis as appropriate based on the cap table. It is typically advisable not to have drag along rights that can be triggered by single shareholders or only the investor group.</w:t>
      </w:r>
    </w:p>
  </w:footnote>
  <w:footnote w:id="22">
    <w:p w14:paraId="775AA7D3" w14:textId="6B4315F8" w:rsidR="006E4487" w:rsidRPr="00FC0191" w:rsidRDefault="006E4487">
      <w:pPr>
        <w:pStyle w:val="FootnoteText"/>
        <w:rPr>
          <w:lang w:val="en-ZA"/>
        </w:rPr>
      </w:pPr>
      <w:r>
        <w:rPr>
          <w:rStyle w:val="FootnoteReference"/>
        </w:rPr>
        <w:footnoteRef/>
      </w:r>
      <w:r>
        <w:t xml:space="preserve"> This percentage can be refined on a case-by-case basis. The idea is that there needs to be a material proportion of shares should by a shareholder before a tag along is triggered.</w:t>
      </w:r>
    </w:p>
  </w:footnote>
  <w:footnote w:id="23">
    <w:p w14:paraId="457F53F6" w14:textId="36AA4C69" w:rsidR="002D763E" w:rsidRDefault="002D763E" w:rsidP="003522A2">
      <w:pPr>
        <w:pStyle w:val="FootnoteText"/>
      </w:pPr>
      <w:r>
        <w:rPr>
          <w:rStyle w:val="FootnoteReference"/>
        </w:rPr>
        <w:footnoteRef/>
      </w:r>
      <w:r>
        <w:tab/>
        <w:t xml:space="preserve">Most </w:t>
      </w:r>
      <w:r w:rsidR="00AC25D1">
        <w:t>Founder</w:t>
      </w:r>
      <w:r>
        <w:t xml:space="preserve">s’ shares are already subject to vesting; consider what level of vesting is appropriate and revise to marry up.  Investors may also conclude not to change </w:t>
      </w:r>
      <w:r w:rsidR="00AC25D1">
        <w:t>Founder</w:t>
      </w:r>
      <w:r>
        <w:t xml:space="preserve"> vesting.</w:t>
      </w:r>
    </w:p>
  </w:footnote>
  <w:footnote w:id="24">
    <w:p w14:paraId="40C4E3AD" w14:textId="77777777" w:rsidR="002D763E" w:rsidRDefault="002D763E" w:rsidP="003522A2">
      <w:pPr>
        <w:pStyle w:val="FootnoteText"/>
      </w:pPr>
      <w:r w:rsidRPr="00320527">
        <w:rPr>
          <w:rStyle w:val="FootnoteReference"/>
          <w:szCs w:val="24"/>
        </w:rPr>
        <w:footnoteRef/>
      </w:r>
      <w:r>
        <w:rPr>
          <w:sz w:val="16"/>
        </w:rPr>
        <w:tab/>
      </w:r>
      <w:r>
        <w:t>Necessary only if this is a later round of financing, and not the initial Series A round.</w:t>
      </w:r>
    </w:p>
  </w:footnote>
  <w:footnote w:id="25">
    <w:p w14:paraId="786AFACD" w14:textId="2A704B04" w:rsidR="00BC2DCD" w:rsidRPr="00FC0191" w:rsidRDefault="00BC2DCD">
      <w:pPr>
        <w:pStyle w:val="FootnoteText"/>
        <w:rPr>
          <w:lang w:val="en-ZA"/>
        </w:rPr>
      </w:pPr>
      <w:r>
        <w:rPr>
          <w:rStyle w:val="FootnoteReference"/>
        </w:rPr>
        <w:footnoteRef/>
      </w:r>
      <w:r>
        <w:t xml:space="preserve"> </w:t>
      </w:r>
      <w:r>
        <w:rPr>
          <w:lang w:val="en-ZA"/>
        </w:rPr>
        <w:t xml:space="preserve">The norm is typically for investor shareholders to dispose of their shares at market value in a compulsory sale scenario, but it may be appropriate in some cases to apply punitive valuations for some triggers such as material breach of agreements. </w:t>
      </w:r>
    </w:p>
  </w:footnote>
  <w:footnote w:id="26">
    <w:p w14:paraId="2C75FAC6" w14:textId="693C6B55" w:rsidR="00BC2DCD" w:rsidRPr="00FC0191" w:rsidRDefault="00BC2DCD">
      <w:pPr>
        <w:pStyle w:val="FootnoteText"/>
        <w:rPr>
          <w:lang w:val="en-ZA"/>
        </w:rPr>
      </w:pPr>
      <w:r>
        <w:rPr>
          <w:rStyle w:val="FootnoteReference"/>
        </w:rPr>
        <w:footnoteRef/>
      </w:r>
      <w:r>
        <w:t xml:space="preserve"> </w:t>
      </w:r>
      <w:r>
        <w:rPr>
          <w:lang w:val="en-ZA"/>
        </w:rPr>
        <w:t>There is no overarching industry theme on transaction costs in South Africa, agreements vary depending on the context and mandates of the investment funds involved, but if the investee company is responsible for any of the investors' costs this should be subject to a cap and there should be a clear distinction (if applicable) to transaction costs and due diligence costs.</w:t>
      </w:r>
    </w:p>
  </w:footnote>
  <w:footnote w:id="27">
    <w:p w14:paraId="3C64D1E3" w14:textId="43BE2D33" w:rsidR="00F74385" w:rsidRPr="00A86AFF" w:rsidRDefault="00F74385">
      <w:pPr>
        <w:pStyle w:val="FootnoteText"/>
        <w:rPr>
          <w:lang w:val="en-ZA"/>
        </w:rPr>
      </w:pPr>
      <w:r>
        <w:rPr>
          <w:rStyle w:val="FootnoteReference"/>
        </w:rPr>
        <w:footnoteRef/>
      </w:r>
      <w:r>
        <w:t xml:space="preserve"> </w:t>
      </w:r>
      <w:r>
        <w:rPr>
          <w:lang w:val="en-ZA"/>
        </w:rPr>
        <w:t xml:space="preserve">If Preferred Directors are appointed by one or more </w:t>
      </w:r>
      <w:r w:rsidRPr="00F74385">
        <w:rPr>
          <w:lang w:val="en-ZA"/>
        </w:rPr>
        <w:t xml:space="preserve">shareholders or shareholders acting in concert, the ability to veto the firing and hiring of executives may be  a form of negative or joint control, which may trigger merger approval </w:t>
      </w:r>
      <w:r>
        <w:rPr>
          <w:lang w:val="en-ZA"/>
        </w:rPr>
        <w:t>i</w:t>
      </w:r>
      <w:r w:rsidRPr="00F74385">
        <w:rPr>
          <w:lang w:val="en-ZA"/>
        </w:rPr>
        <w:t xml:space="preserve">f the relevant monetary thresholds are met. To be considered on a case </w:t>
      </w:r>
      <w:r>
        <w:rPr>
          <w:lang w:val="en-ZA"/>
        </w:rPr>
        <w:t>-</w:t>
      </w:r>
      <w:r w:rsidRPr="00F74385">
        <w:rPr>
          <w:lang w:val="en-ZA"/>
        </w:rPr>
        <w:t>by</w:t>
      </w:r>
      <w:r>
        <w:rPr>
          <w:lang w:val="en-ZA"/>
        </w:rPr>
        <w:t>-</w:t>
      </w:r>
      <w:r w:rsidRPr="00F74385">
        <w:rPr>
          <w:lang w:val="en-ZA"/>
        </w:rPr>
        <w:t>case basis.</w:t>
      </w:r>
      <w:r w:rsidR="00A86AFF">
        <w:rPr>
          <w:lang w:val="en-ZA"/>
        </w:rPr>
        <w:t xml:space="preserve"> </w:t>
      </w:r>
      <w:r w:rsidR="00A86AFF" w:rsidRPr="00A86AFF">
        <w:rPr>
          <w:b/>
          <w:bCs/>
          <w:lang w:val="en-ZA"/>
        </w:rPr>
        <w:t>[Question on this comment</w:t>
      </w:r>
      <w:r w:rsidR="00A86AFF">
        <w:rPr>
          <w:b/>
          <w:bCs/>
          <w:lang w:val="en-ZA"/>
        </w:rPr>
        <w:t xml:space="preserve">: </w:t>
      </w:r>
      <w:r w:rsidR="00A86AFF" w:rsidRPr="00A86AFF">
        <w:rPr>
          <w:lang w:val="en-ZA"/>
        </w:rPr>
        <w:t>is the point that the shareholder/s in question may be regarded as controlling the Company, because they can veto hiring or firing of execx; and so this may trigger the need to, apply for merger approval? Presumably this is also subject to thresholds related to turn over, etc. as for competition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0EEB" w14:textId="77777777" w:rsidR="008327E6" w:rsidRDefault="00832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D80F" w14:textId="77777777" w:rsidR="008327E6" w:rsidRDefault="00832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40FD" w14:textId="483AA6AA" w:rsidR="004A7843" w:rsidRPr="00FC0191" w:rsidRDefault="006625D4" w:rsidP="004A7843">
    <w:pPr>
      <w:pStyle w:val="Header"/>
      <w:rPr>
        <w:rFonts w:ascii="Arial" w:hAnsi="Arial" w:cs="Arial"/>
        <w:sz w:val="18"/>
        <w:szCs w:val="18"/>
      </w:rPr>
    </w:pPr>
    <w:r>
      <w:rPr>
        <w:rFonts w:ascii="Arial" w:hAnsi="Arial" w:cs="Arial"/>
        <w:sz w:val="18"/>
        <w:szCs w:val="18"/>
      </w:rPr>
      <w:t>Second Draft</w:t>
    </w:r>
    <w:r w:rsidR="004A7843" w:rsidRPr="00FC0191">
      <w:rPr>
        <w:rFonts w:ascii="Arial" w:hAnsi="Arial" w:cs="Arial"/>
        <w:sz w:val="18"/>
        <w:szCs w:val="18"/>
      </w:rPr>
      <w:t>, Proposed Model Document</w:t>
    </w:r>
  </w:p>
  <w:p w14:paraId="5A752FA8" w14:textId="77777777" w:rsidR="004A7843" w:rsidRPr="00FC0191" w:rsidRDefault="004A7843" w:rsidP="004A7843">
    <w:pPr>
      <w:rPr>
        <w:rFonts w:ascii="Arial" w:eastAsia="Arial" w:hAnsi="Arial" w:cs="Arial"/>
        <w:b/>
        <w:bCs/>
        <w:i/>
        <w:iCs/>
        <w:sz w:val="18"/>
        <w:szCs w:val="18"/>
      </w:rPr>
    </w:pPr>
  </w:p>
  <w:p w14:paraId="5CB222B6" w14:textId="77777777" w:rsidR="004A7843" w:rsidRPr="00FC0191" w:rsidRDefault="004A7843" w:rsidP="004A7843">
    <w:pPr>
      <w:jc w:val="both"/>
      <w:rPr>
        <w:rFonts w:ascii="Arial" w:eastAsia="Arial" w:hAnsi="Arial" w:cs="Arial"/>
        <w:i/>
        <w:iCs/>
        <w:sz w:val="18"/>
        <w:szCs w:val="18"/>
        <w:lang w:val="en-ZA"/>
      </w:rPr>
    </w:pPr>
    <w:r w:rsidRPr="00FC0191">
      <w:rPr>
        <w:rFonts w:ascii="Arial" w:eastAsia="Arial" w:hAnsi="Arial" w:cs="Arial"/>
        <w:b/>
        <w:bCs/>
        <w:i/>
        <w:iCs/>
        <w:sz w:val="18"/>
        <w:szCs w:val="18"/>
        <w:lang w:val="en-ZA"/>
      </w:rPr>
      <w:t xml:space="preserve">Drafting Note:  </w:t>
    </w:r>
    <w:r w:rsidRPr="00FC0191">
      <w:rPr>
        <w:rFonts w:ascii="Arial" w:eastAsia="Arial" w:hAnsi="Arial" w:cs="Arial"/>
        <w:i/>
        <w:iCs/>
        <w:sz w:val="18"/>
        <w:szCs w:val="18"/>
        <w:lang w:val="en-ZA"/>
      </w:rPr>
      <w:t>This document is a template designed for discussion. It includes various options for key provisions, which will need to be adapted to fit the specific commercial goals of your unique deal. As a template, it is not legal advice.</w:t>
    </w:r>
  </w:p>
  <w:p w14:paraId="38EA826D" w14:textId="77777777" w:rsidR="004A7843" w:rsidRPr="00FC0191" w:rsidRDefault="004A7843" w:rsidP="004A7843">
    <w:pPr>
      <w:jc w:val="both"/>
      <w:rPr>
        <w:rFonts w:ascii="Arial" w:eastAsia="Arial" w:hAnsi="Arial" w:cs="Arial"/>
        <w:i/>
        <w:iCs/>
        <w:sz w:val="18"/>
        <w:szCs w:val="18"/>
      </w:rPr>
    </w:pPr>
  </w:p>
  <w:p w14:paraId="179A4F11" w14:textId="6811BC86" w:rsidR="004A7843" w:rsidRPr="00FC0191" w:rsidRDefault="004A7843" w:rsidP="004A7843">
    <w:pPr>
      <w:jc w:val="both"/>
      <w:rPr>
        <w:rFonts w:ascii="Arial" w:eastAsia="Arial" w:hAnsi="Arial" w:cs="Arial"/>
        <w:sz w:val="18"/>
        <w:szCs w:val="18"/>
      </w:rPr>
    </w:pPr>
    <w:r w:rsidRPr="00FC0191">
      <w:rPr>
        <w:rFonts w:ascii="Arial" w:eastAsia="Arial" w:hAnsi="Arial" w:cs="Arial"/>
        <w:sz w:val="18"/>
        <w:szCs w:val="18"/>
      </w:rPr>
      <w:t xml:space="preserve">Last updated </w:t>
    </w:r>
    <w:r w:rsidR="00D62434">
      <w:rPr>
        <w:rFonts w:ascii="Arial" w:eastAsia="Arial" w:hAnsi="Arial" w:cs="Arial"/>
        <w:sz w:val="18"/>
        <w:szCs w:val="18"/>
      </w:rPr>
      <w:t>17 November 2025</w:t>
    </w:r>
  </w:p>
  <w:p w14:paraId="562BABDD" w14:textId="77777777" w:rsidR="004A7843" w:rsidRDefault="004A7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F202" w14:textId="77777777" w:rsidR="000B2393" w:rsidRDefault="000B23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3335" w14:textId="77777777" w:rsidR="000B2393" w:rsidRDefault="000B2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A11"/>
    <w:multiLevelType w:val="hybridMultilevel"/>
    <w:tmpl w:val="FA44A6DE"/>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1" w15:restartNumberingAfterBreak="0">
    <w:nsid w:val="03F02EA8"/>
    <w:multiLevelType w:val="hybridMultilevel"/>
    <w:tmpl w:val="4D24ADEE"/>
    <w:lvl w:ilvl="0" w:tplc="16EE2238">
      <w:start w:val="1"/>
      <w:numFmt w:val="bullet"/>
      <w:lvlText w:val=""/>
      <w:lvlJc w:val="left"/>
      <w:pPr>
        <w:ind w:left="720" w:hanging="360"/>
      </w:pPr>
      <w:rPr>
        <w:rFonts w:ascii="Symbol" w:hAnsi="Symbol"/>
      </w:rPr>
    </w:lvl>
    <w:lvl w:ilvl="1" w:tplc="2228B24E">
      <w:start w:val="1"/>
      <w:numFmt w:val="bullet"/>
      <w:lvlText w:val=""/>
      <w:lvlJc w:val="left"/>
      <w:pPr>
        <w:ind w:left="720" w:hanging="360"/>
      </w:pPr>
      <w:rPr>
        <w:rFonts w:ascii="Symbol" w:hAnsi="Symbol"/>
      </w:rPr>
    </w:lvl>
    <w:lvl w:ilvl="2" w:tplc="0E007D7A">
      <w:start w:val="1"/>
      <w:numFmt w:val="bullet"/>
      <w:lvlText w:val=""/>
      <w:lvlJc w:val="left"/>
      <w:pPr>
        <w:ind w:left="720" w:hanging="360"/>
      </w:pPr>
      <w:rPr>
        <w:rFonts w:ascii="Symbol" w:hAnsi="Symbol"/>
      </w:rPr>
    </w:lvl>
    <w:lvl w:ilvl="3" w:tplc="1B9EE43A">
      <w:start w:val="1"/>
      <w:numFmt w:val="bullet"/>
      <w:lvlText w:val=""/>
      <w:lvlJc w:val="left"/>
      <w:pPr>
        <w:ind w:left="720" w:hanging="360"/>
      </w:pPr>
      <w:rPr>
        <w:rFonts w:ascii="Symbol" w:hAnsi="Symbol"/>
      </w:rPr>
    </w:lvl>
    <w:lvl w:ilvl="4" w:tplc="1AA4759A">
      <w:start w:val="1"/>
      <w:numFmt w:val="bullet"/>
      <w:lvlText w:val=""/>
      <w:lvlJc w:val="left"/>
      <w:pPr>
        <w:ind w:left="720" w:hanging="360"/>
      </w:pPr>
      <w:rPr>
        <w:rFonts w:ascii="Symbol" w:hAnsi="Symbol"/>
      </w:rPr>
    </w:lvl>
    <w:lvl w:ilvl="5" w:tplc="F318708C">
      <w:start w:val="1"/>
      <w:numFmt w:val="bullet"/>
      <w:lvlText w:val=""/>
      <w:lvlJc w:val="left"/>
      <w:pPr>
        <w:ind w:left="720" w:hanging="360"/>
      </w:pPr>
      <w:rPr>
        <w:rFonts w:ascii="Symbol" w:hAnsi="Symbol"/>
      </w:rPr>
    </w:lvl>
    <w:lvl w:ilvl="6" w:tplc="1A1AE17A">
      <w:start w:val="1"/>
      <w:numFmt w:val="bullet"/>
      <w:lvlText w:val=""/>
      <w:lvlJc w:val="left"/>
      <w:pPr>
        <w:ind w:left="720" w:hanging="360"/>
      </w:pPr>
      <w:rPr>
        <w:rFonts w:ascii="Symbol" w:hAnsi="Symbol"/>
      </w:rPr>
    </w:lvl>
    <w:lvl w:ilvl="7" w:tplc="8B96949C">
      <w:start w:val="1"/>
      <w:numFmt w:val="bullet"/>
      <w:lvlText w:val=""/>
      <w:lvlJc w:val="left"/>
      <w:pPr>
        <w:ind w:left="720" w:hanging="360"/>
      </w:pPr>
      <w:rPr>
        <w:rFonts w:ascii="Symbol" w:hAnsi="Symbol"/>
      </w:rPr>
    </w:lvl>
    <w:lvl w:ilvl="8" w:tplc="A006AA68">
      <w:start w:val="1"/>
      <w:numFmt w:val="bullet"/>
      <w:lvlText w:val=""/>
      <w:lvlJc w:val="left"/>
      <w:pPr>
        <w:ind w:left="720" w:hanging="360"/>
      </w:pPr>
      <w:rPr>
        <w:rFonts w:ascii="Symbol" w:hAnsi="Symbol"/>
      </w:rPr>
    </w:lvl>
  </w:abstractNum>
  <w:abstractNum w:abstractNumId="2" w15:restartNumberingAfterBreak="0">
    <w:nsid w:val="050A01BD"/>
    <w:multiLevelType w:val="hybridMultilevel"/>
    <w:tmpl w:val="14D4519A"/>
    <w:lvl w:ilvl="0" w:tplc="F2C65736">
      <w:start w:val="1"/>
      <w:numFmt w:val="lowerRoman"/>
      <w:lvlText w:val="(%1)"/>
      <w:lvlJc w:val="left"/>
      <w:pPr>
        <w:ind w:left="1080" w:hanging="720"/>
      </w:pPr>
      <w:rPr>
        <w:rFonts w:hint="default"/>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ED7448"/>
    <w:multiLevelType w:val="hybridMultilevel"/>
    <w:tmpl w:val="A3269246"/>
    <w:lvl w:ilvl="0" w:tplc="122C9FE2">
      <w:start w:val="1"/>
      <w:numFmt w:val="bullet"/>
      <w:lvlText w:val=""/>
      <w:lvlJc w:val="left"/>
      <w:pPr>
        <w:ind w:left="720" w:hanging="360"/>
      </w:pPr>
      <w:rPr>
        <w:rFonts w:ascii="Symbol" w:hAnsi="Symbol"/>
      </w:rPr>
    </w:lvl>
    <w:lvl w:ilvl="1" w:tplc="3274E1EE">
      <w:start w:val="1"/>
      <w:numFmt w:val="bullet"/>
      <w:lvlText w:val=""/>
      <w:lvlJc w:val="left"/>
      <w:pPr>
        <w:ind w:left="720" w:hanging="360"/>
      </w:pPr>
      <w:rPr>
        <w:rFonts w:ascii="Symbol" w:hAnsi="Symbol"/>
      </w:rPr>
    </w:lvl>
    <w:lvl w:ilvl="2" w:tplc="1C1E1140">
      <w:start w:val="1"/>
      <w:numFmt w:val="bullet"/>
      <w:lvlText w:val=""/>
      <w:lvlJc w:val="left"/>
      <w:pPr>
        <w:ind w:left="720" w:hanging="360"/>
      </w:pPr>
      <w:rPr>
        <w:rFonts w:ascii="Symbol" w:hAnsi="Symbol"/>
      </w:rPr>
    </w:lvl>
    <w:lvl w:ilvl="3" w:tplc="0DE8D40C">
      <w:start w:val="1"/>
      <w:numFmt w:val="bullet"/>
      <w:lvlText w:val=""/>
      <w:lvlJc w:val="left"/>
      <w:pPr>
        <w:ind w:left="720" w:hanging="360"/>
      </w:pPr>
      <w:rPr>
        <w:rFonts w:ascii="Symbol" w:hAnsi="Symbol"/>
      </w:rPr>
    </w:lvl>
    <w:lvl w:ilvl="4" w:tplc="6D024F32">
      <w:start w:val="1"/>
      <w:numFmt w:val="bullet"/>
      <w:lvlText w:val=""/>
      <w:lvlJc w:val="left"/>
      <w:pPr>
        <w:ind w:left="720" w:hanging="360"/>
      </w:pPr>
      <w:rPr>
        <w:rFonts w:ascii="Symbol" w:hAnsi="Symbol"/>
      </w:rPr>
    </w:lvl>
    <w:lvl w:ilvl="5" w:tplc="875088C8">
      <w:start w:val="1"/>
      <w:numFmt w:val="bullet"/>
      <w:lvlText w:val=""/>
      <w:lvlJc w:val="left"/>
      <w:pPr>
        <w:ind w:left="720" w:hanging="360"/>
      </w:pPr>
      <w:rPr>
        <w:rFonts w:ascii="Symbol" w:hAnsi="Symbol"/>
      </w:rPr>
    </w:lvl>
    <w:lvl w:ilvl="6" w:tplc="E580EAC4">
      <w:start w:val="1"/>
      <w:numFmt w:val="bullet"/>
      <w:lvlText w:val=""/>
      <w:lvlJc w:val="left"/>
      <w:pPr>
        <w:ind w:left="720" w:hanging="360"/>
      </w:pPr>
      <w:rPr>
        <w:rFonts w:ascii="Symbol" w:hAnsi="Symbol"/>
      </w:rPr>
    </w:lvl>
    <w:lvl w:ilvl="7" w:tplc="F85C7F76">
      <w:start w:val="1"/>
      <w:numFmt w:val="bullet"/>
      <w:lvlText w:val=""/>
      <w:lvlJc w:val="left"/>
      <w:pPr>
        <w:ind w:left="720" w:hanging="360"/>
      </w:pPr>
      <w:rPr>
        <w:rFonts w:ascii="Symbol" w:hAnsi="Symbol"/>
      </w:rPr>
    </w:lvl>
    <w:lvl w:ilvl="8" w:tplc="405EC228">
      <w:start w:val="1"/>
      <w:numFmt w:val="bullet"/>
      <w:lvlText w:val=""/>
      <w:lvlJc w:val="left"/>
      <w:pPr>
        <w:ind w:left="720" w:hanging="360"/>
      </w:pPr>
      <w:rPr>
        <w:rFonts w:ascii="Symbol" w:hAnsi="Symbol"/>
      </w:rPr>
    </w:lvl>
  </w:abstractNum>
  <w:abstractNum w:abstractNumId="4" w15:restartNumberingAfterBreak="0">
    <w:nsid w:val="07BB3152"/>
    <w:multiLevelType w:val="hybridMultilevel"/>
    <w:tmpl w:val="82E0673C"/>
    <w:lvl w:ilvl="0" w:tplc="D2A225B2">
      <w:start w:val="1"/>
      <w:numFmt w:val="bullet"/>
      <w:lvlText w:val=""/>
      <w:lvlJc w:val="left"/>
      <w:pPr>
        <w:ind w:left="720" w:hanging="360"/>
      </w:pPr>
      <w:rPr>
        <w:rFonts w:ascii="Symbol" w:hAnsi="Symbol"/>
      </w:rPr>
    </w:lvl>
    <w:lvl w:ilvl="1" w:tplc="9BEA06DA">
      <w:start w:val="1"/>
      <w:numFmt w:val="bullet"/>
      <w:lvlText w:val=""/>
      <w:lvlJc w:val="left"/>
      <w:pPr>
        <w:ind w:left="720" w:hanging="360"/>
      </w:pPr>
      <w:rPr>
        <w:rFonts w:ascii="Symbol" w:hAnsi="Symbol"/>
      </w:rPr>
    </w:lvl>
    <w:lvl w:ilvl="2" w:tplc="233C20AC">
      <w:start w:val="1"/>
      <w:numFmt w:val="bullet"/>
      <w:lvlText w:val=""/>
      <w:lvlJc w:val="left"/>
      <w:pPr>
        <w:ind w:left="720" w:hanging="360"/>
      </w:pPr>
      <w:rPr>
        <w:rFonts w:ascii="Symbol" w:hAnsi="Symbol"/>
      </w:rPr>
    </w:lvl>
    <w:lvl w:ilvl="3" w:tplc="A918A192">
      <w:start w:val="1"/>
      <w:numFmt w:val="bullet"/>
      <w:lvlText w:val=""/>
      <w:lvlJc w:val="left"/>
      <w:pPr>
        <w:ind w:left="720" w:hanging="360"/>
      </w:pPr>
      <w:rPr>
        <w:rFonts w:ascii="Symbol" w:hAnsi="Symbol"/>
      </w:rPr>
    </w:lvl>
    <w:lvl w:ilvl="4" w:tplc="E6A298DE">
      <w:start w:val="1"/>
      <w:numFmt w:val="bullet"/>
      <w:lvlText w:val=""/>
      <w:lvlJc w:val="left"/>
      <w:pPr>
        <w:ind w:left="720" w:hanging="360"/>
      </w:pPr>
      <w:rPr>
        <w:rFonts w:ascii="Symbol" w:hAnsi="Symbol"/>
      </w:rPr>
    </w:lvl>
    <w:lvl w:ilvl="5" w:tplc="E3862FF8">
      <w:start w:val="1"/>
      <w:numFmt w:val="bullet"/>
      <w:lvlText w:val=""/>
      <w:lvlJc w:val="left"/>
      <w:pPr>
        <w:ind w:left="720" w:hanging="360"/>
      </w:pPr>
      <w:rPr>
        <w:rFonts w:ascii="Symbol" w:hAnsi="Symbol"/>
      </w:rPr>
    </w:lvl>
    <w:lvl w:ilvl="6" w:tplc="8604C0D6">
      <w:start w:val="1"/>
      <w:numFmt w:val="bullet"/>
      <w:lvlText w:val=""/>
      <w:lvlJc w:val="left"/>
      <w:pPr>
        <w:ind w:left="720" w:hanging="360"/>
      </w:pPr>
      <w:rPr>
        <w:rFonts w:ascii="Symbol" w:hAnsi="Symbol"/>
      </w:rPr>
    </w:lvl>
    <w:lvl w:ilvl="7" w:tplc="621AFD54">
      <w:start w:val="1"/>
      <w:numFmt w:val="bullet"/>
      <w:lvlText w:val=""/>
      <w:lvlJc w:val="left"/>
      <w:pPr>
        <w:ind w:left="720" w:hanging="360"/>
      </w:pPr>
      <w:rPr>
        <w:rFonts w:ascii="Symbol" w:hAnsi="Symbol"/>
      </w:rPr>
    </w:lvl>
    <w:lvl w:ilvl="8" w:tplc="1B34E3C0">
      <w:start w:val="1"/>
      <w:numFmt w:val="bullet"/>
      <w:lvlText w:val=""/>
      <w:lvlJc w:val="left"/>
      <w:pPr>
        <w:ind w:left="720" w:hanging="360"/>
      </w:pPr>
      <w:rPr>
        <w:rFonts w:ascii="Symbol" w:hAnsi="Symbol"/>
      </w:rPr>
    </w:lvl>
  </w:abstractNum>
  <w:abstractNum w:abstractNumId="5" w15:restartNumberingAfterBreak="0">
    <w:nsid w:val="08990CCC"/>
    <w:multiLevelType w:val="hybridMultilevel"/>
    <w:tmpl w:val="43965A50"/>
    <w:lvl w:ilvl="0" w:tplc="451A48A4">
      <w:start w:val="1"/>
      <w:numFmt w:val="bullet"/>
      <w:lvlText w:val=""/>
      <w:lvlJc w:val="left"/>
      <w:pPr>
        <w:ind w:left="720" w:hanging="360"/>
      </w:pPr>
      <w:rPr>
        <w:rFonts w:ascii="Symbol" w:hAnsi="Symbol"/>
      </w:rPr>
    </w:lvl>
    <w:lvl w:ilvl="1" w:tplc="48A07CE0">
      <w:start w:val="1"/>
      <w:numFmt w:val="bullet"/>
      <w:lvlText w:val=""/>
      <w:lvlJc w:val="left"/>
      <w:pPr>
        <w:ind w:left="720" w:hanging="360"/>
      </w:pPr>
      <w:rPr>
        <w:rFonts w:ascii="Symbol" w:hAnsi="Symbol"/>
      </w:rPr>
    </w:lvl>
    <w:lvl w:ilvl="2" w:tplc="38162366">
      <w:start w:val="1"/>
      <w:numFmt w:val="bullet"/>
      <w:lvlText w:val=""/>
      <w:lvlJc w:val="left"/>
      <w:pPr>
        <w:ind w:left="720" w:hanging="360"/>
      </w:pPr>
      <w:rPr>
        <w:rFonts w:ascii="Symbol" w:hAnsi="Symbol"/>
      </w:rPr>
    </w:lvl>
    <w:lvl w:ilvl="3" w:tplc="5A4C87FC">
      <w:start w:val="1"/>
      <w:numFmt w:val="bullet"/>
      <w:lvlText w:val=""/>
      <w:lvlJc w:val="left"/>
      <w:pPr>
        <w:ind w:left="720" w:hanging="360"/>
      </w:pPr>
      <w:rPr>
        <w:rFonts w:ascii="Symbol" w:hAnsi="Symbol"/>
      </w:rPr>
    </w:lvl>
    <w:lvl w:ilvl="4" w:tplc="722A2C36">
      <w:start w:val="1"/>
      <w:numFmt w:val="bullet"/>
      <w:lvlText w:val=""/>
      <w:lvlJc w:val="left"/>
      <w:pPr>
        <w:ind w:left="720" w:hanging="360"/>
      </w:pPr>
      <w:rPr>
        <w:rFonts w:ascii="Symbol" w:hAnsi="Symbol"/>
      </w:rPr>
    </w:lvl>
    <w:lvl w:ilvl="5" w:tplc="721E5600">
      <w:start w:val="1"/>
      <w:numFmt w:val="bullet"/>
      <w:lvlText w:val=""/>
      <w:lvlJc w:val="left"/>
      <w:pPr>
        <w:ind w:left="720" w:hanging="360"/>
      </w:pPr>
      <w:rPr>
        <w:rFonts w:ascii="Symbol" w:hAnsi="Symbol"/>
      </w:rPr>
    </w:lvl>
    <w:lvl w:ilvl="6" w:tplc="91283DDC">
      <w:start w:val="1"/>
      <w:numFmt w:val="bullet"/>
      <w:lvlText w:val=""/>
      <w:lvlJc w:val="left"/>
      <w:pPr>
        <w:ind w:left="720" w:hanging="360"/>
      </w:pPr>
      <w:rPr>
        <w:rFonts w:ascii="Symbol" w:hAnsi="Symbol"/>
      </w:rPr>
    </w:lvl>
    <w:lvl w:ilvl="7" w:tplc="7884BB3C">
      <w:start w:val="1"/>
      <w:numFmt w:val="bullet"/>
      <w:lvlText w:val=""/>
      <w:lvlJc w:val="left"/>
      <w:pPr>
        <w:ind w:left="720" w:hanging="360"/>
      </w:pPr>
      <w:rPr>
        <w:rFonts w:ascii="Symbol" w:hAnsi="Symbol"/>
      </w:rPr>
    </w:lvl>
    <w:lvl w:ilvl="8" w:tplc="742E66E8">
      <w:start w:val="1"/>
      <w:numFmt w:val="bullet"/>
      <w:lvlText w:val=""/>
      <w:lvlJc w:val="left"/>
      <w:pPr>
        <w:ind w:left="720" w:hanging="360"/>
      </w:pPr>
      <w:rPr>
        <w:rFonts w:ascii="Symbol" w:hAnsi="Symbol"/>
      </w:rPr>
    </w:lvl>
  </w:abstractNum>
  <w:abstractNum w:abstractNumId="6" w15:restartNumberingAfterBreak="0">
    <w:nsid w:val="12700676"/>
    <w:multiLevelType w:val="hybridMultilevel"/>
    <w:tmpl w:val="13F85882"/>
    <w:lvl w:ilvl="0" w:tplc="C5B666E0">
      <w:start w:val="1"/>
      <w:numFmt w:val="bullet"/>
      <w:lvlText w:val=""/>
      <w:lvlJc w:val="left"/>
      <w:pPr>
        <w:ind w:left="720" w:hanging="360"/>
      </w:pPr>
      <w:rPr>
        <w:rFonts w:ascii="Symbol" w:hAnsi="Symbol"/>
      </w:rPr>
    </w:lvl>
    <w:lvl w:ilvl="1" w:tplc="09A441DC">
      <w:start w:val="1"/>
      <w:numFmt w:val="bullet"/>
      <w:lvlText w:val=""/>
      <w:lvlJc w:val="left"/>
      <w:pPr>
        <w:ind w:left="720" w:hanging="360"/>
      </w:pPr>
      <w:rPr>
        <w:rFonts w:ascii="Symbol" w:hAnsi="Symbol"/>
      </w:rPr>
    </w:lvl>
    <w:lvl w:ilvl="2" w:tplc="E7149264">
      <w:start w:val="1"/>
      <w:numFmt w:val="bullet"/>
      <w:lvlText w:val=""/>
      <w:lvlJc w:val="left"/>
      <w:pPr>
        <w:ind w:left="720" w:hanging="360"/>
      </w:pPr>
      <w:rPr>
        <w:rFonts w:ascii="Symbol" w:hAnsi="Symbol"/>
      </w:rPr>
    </w:lvl>
    <w:lvl w:ilvl="3" w:tplc="92A088AA">
      <w:start w:val="1"/>
      <w:numFmt w:val="bullet"/>
      <w:lvlText w:val=""/>
      <w:lvlJc w:val="left"/>
      <w:pPr>
        <w:ind w:left="720" w:hanging="360"/>
      </w:pPr>
      <w:rPr>
        <w:rFonts w:ascii="Symbol" w:hAnsi="Symbol"/>
      </w:rPr>
    </w:lvl>
    <w:lvl w:ilvl="4" w:tplc="4CF25370">
      <w:start w:val="1"/>
      <w:numFmt w:val="bullet"/>
      <w:lvlText w:val=""/>
      <w:lvlJc w:val="left"/>
      <w:pPr>
        <w:ind w:left="720" w:hanging="360"/>
      </w:pPr>
      <w:rPr>
        <w:rFonts w:ascii="Symbol" w:hAnsi="Symbol"/>
      </w:rPr>
    </w:lvl>
    <w:lvl w:ilvl="5" w:tplc="5346229A">
      <w:start w:val="1"/>
      <w:numFmt w:val="bullet"/>
      <w:lvlText w:val=""/>
      <w:lvlJc w:val="left"/>
      <w:pPr>
        <w:ind w:left="720" w:hanging="360"/>
      </w:pPr>
      <w:rPr>
        <w:rFonts w:ascii="Symbol" w:hAnsi="Symbol"/>
      </w:rPr>
    </w:lvl>
    <w:lvl w:ilvl="6" w:tplc="CA28FC2C">
      <w:start w:val="1"/>
      <w:numFmt w:val="bullet"/>
      <w:lvlText w:val=""/>
      <w:lvlJc w:val="left"/>
      <w:pPr>
        <w:ind w:left="720" w:hanging="360"/>
      </w:pPr>
      <w:rPr>
        <w:rFonts w:ascii="Symbol" w:hAnsi="Symbol"/>
      </w:rPr>
    </w:lvl>
    <w:lvl w:ilvl="7" w:tplc="EDA43B78">
      <w:start w:val="1"/>
      <w:numFmt w:val="bullet"/>
      <w:lvlText w:val=""/>
      <w:lvlJc w:val="left"/>
      <w:pPr>
        <w:ind w:left="720" w:hanging="360"/>
      </w:pPr>
      <w:rPr>
        <w:rFonts w:ascii="Symbol" w:hAnsi="Symbol"/>
      </w:rPr>
    </w:lvl>
    <w:lvl w:ilvl="8" w:tplc="C674D8DA">
      <w:start w:val="1"/>
      <w:numFmt w:val="bullet"/>
      <w:lvlText w:val=""/>
      <w:lvlJc w:val="left"/>
      <w:pPr>
        <w:ind w:left="720" w:hanging="360"/>
      </w:pPr>
      <w:rPr>
        <w:rFonts w:ascii="Symbol" w:hAnsi="Symbol"/>
      </w:rPr>
    </w:lvl>
  </w:abstractNum>
  <w:abstractNum w:abstractNumId="7" w15:restartNumberingAfterBreak="0">
    <w:nsid w:val="180D58A6"/>
    <w:multiLevelType w:val="hybridMultilevel"/>
    <w:tmpl w:val="54387F7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8AE0C66"/>
    <w:multiLevelType w:val="hybridMultilevel"/>
    <w:tmpl w:val="9102A06A"/>
    <w:lvl w:ilvl="0" w:tplc="A718AE48">
      <w:start w:val="1"/>
      <w:numFmt w:val="bullet"/>
      <w:lvlText w:val=""/>
      <w:lvlJc w:val="left"/>
      <w:pPr>
        <w:ind w:left="720" w:hanging="360"/>
      </w:pPr>
      <w:rPr>
        <w:rFonts w:ascii="Symbol" w:hAnsi="Symbol"/>
      </w:rPr>
    </w:lvl>
    <w:lvl w:ilvl="1" w:tplc="A2307B2C">
      <w:start w:val="1"/>
      <w:numFmt w:val="bullet"/>
      <w:lvlText w:val=""/>
      <w:lvlJc w:val="left"/>
      <w:pPr>
        <w:ind w:left="720" w:hanging="360"/>
      </w:pPr>
      <w:rPr>
        <w:rFonts w:ascii="Symbol" w:hAnsi="Symbol"/>
      </w:rPr>
    </w:lvl>
    <w:lvl w:ilvl="2" w:tplc="EBA01BE6">
      <w:start w:val="1"/>
      <w:numFmt w:val="bullet"/>
      <w:lvlText w:val=""/>
      <w:lvlJc w:val="left"/>
      <w:pPr>
        <w:ind w:left="720" w:hanging="360"/>
      </w:pPr>
      <w:rPr>
        <w:rFonts w:ascii="Symbol" w:hAnsi="Symbol"/>
      </w:rPr>
    </w:lvl>
    <w:lvl w:ilvl="3" w:tplc="BD249220">
      <w:start w:val="1"/>
      <w:numFmt w:val="bullet"/>
      <w:lvlText w:val=""/>
      <w:lvlJc w:val="left"/>
      <w:pPr>
        <w:ind w:left="720" w:hanging="360"/>
      </w:pPr>
      <w:rPr>
        <w:rFonts w:ascii="Symbol" w:hAnsi="Symbol"/>
      </w:rPr>
    </w:lvl>
    <w:lvl w:ilvl="4" w:tplc="7E564B14">
      <w:start w:val="1"/>
      <w:numFmt w:val="bullet"/>
      <w:lvlText w:val=""/>
      <w:lvlJc w:val="left"/>
      <w:pPr>
        <w:ind w:left="720" w:hanging="360"/>
      </w:pPr>
      <w:rPr>
        <w:rFonts w:ascii="Symbol" w:hAnsi="Symbol"/>
      </w:rPr>
    </w:lvl>
    <w:lvl w:ilvl="5" w:tplc="A178219A">
      <w:start w:val="1"/>
      <w:numFmt w:val="bullet"/>
      <w:lvlText w:val=""/>
      <w:lvlJc w:val="left"/>
      <w:pPr>
        <w:ind w:left="720" w:hanging="360"/>
      </w:pPr>
      <w:rPr>
        <w:rFonts w:ascii="Symbol" w:hAnsi="Symbol"/>
      </w:rPr>
    </w:lvl>
    <w:lvl w:ilvl="6" w:tplc="626EA6CA">
      <w:start w:val="1"/>
      <w:numFmt w:val="bullet"/>
      <w:lvlText w:val=""/>
      <w:lvlJc w:val="left"/>
      <w:pPr>
        <w:ind w:left="720" w:hanging="360"/>
      </w:pPr>
      <w:rPr>
        <w:rFonts w:ascii="Symbol" w:hAnsi="Symbol"/>
      </w:rPr>
    </w:lvl>
    <w:lvl w:ilvl="7" w:tplc="262E08F4">
      <w:start w:val="1"/>
      <w:numFmt w:val="bullet"/>
      <w:lvlText w:val=""/>
      <w:lvlJc w:val="left"/>
      <w:pPr>
        <w:ind w:left="720" w:hanging="360"/>
      </w:pPr>
      <w:rPr>
        <w:rFonts w:ascii="Symbol" w:hAnsi="Symbol"/>
      </w:rPr>
    </w:lvl>
    <w:lvl w:ilvl="8" w:tplc="F806C1C8">
      <w:start w:val="1"/>
      <w:numFmt w:val="bullet"/>
      <w:lvlText w:val=""/>
      <w:lvlJc w:val="left"/>
      <w:pPr>
        <w:ind w:left="720" w:hanging="360"/>
      </w:pPr>
      <w:rPr>
        <w:rFonts w:ascii="Symbol" w:hAnsi="Symbol"/>
      </w:rPr>
    </w:lvl>
  </w:abstractNum>
  <w:abstractNum w:abstractNumId="9" w15:restartNumberingAfterBreak="0">
    <w:nsid w:val="1DEC1446"/>
    <w:multiLevelType w:val="hybridMultilevel"/>
    <w:tmpl w:val="F6E42ED8"/>
    <w:lvl w:ilvl="0" w:tplc="7AEE6D72">
      <w:start w:val="1"/>
      <w:numFmt w:val="bullet"/>
      <w:lvlText w:val=""/>
      <w:lvlJc w:val="left"/>
      <w:pPr>
        <w:ind w:left="720" w:hanging="360"/>
      </w:pPr>
      <w:rPr>
        <w:rFonts w:ascii="Symbol" w:hAnsi="Symbol"/>
      </w:rPr>
    </w:lvl>
    <w:lvl w:ilvl="1" w:tplc="4E2A26B8">
      <w:start w:val="1"/>
      <w:numFmt w:val="bullet"/>
      <w:lvlText w:val=""/>
      <w:lvlJc w:val="left"/>
      <w:pPr>
        <w:ind w:left="720" w:hanging="360"/>
      </w:pPr>
      <w:rPr>
        <w:rFonts w:ascii="Symbol" w:hAnsi="Symbol"/>
      </w:rPr>
    </w:lvl>
    <w:lvl w:ilvl="2" w:tplc="DF4638F8">
      <w:start w:val="1"/>
      <w:numFmt w:val="bullet"/>
      <w:lvlText w:val=""/>
      <w:lvlJc w:val="left"/>
      <w:pPr>
        <w:ind w:left="720" w:hanging="360"/>
      </w:pPr>
      <w:rPr>
        <w:rFonts w:ascii="Symbol" w:hAnsi="Symbol"/>
      </w:rPr>
    </w:lvl>
    <w:lvl w:ilvl="3" w:tplc="FE4C74D0">
      <w:start w:val="1"/>
      <w:numFmt w:val="bullet"/>
      <w:lvlText w:val=""/>
      <w:lvlJc w:val="left"/>
      <w:pPr>
        <w:ind w:left="720" w:hanging="360"/>
      </w:pPr>
      <w:rPr>
        <w:rFonts w:ascii="Symbol" w:hAnsi="Symbol"/>
      </w:rPr>
    </w:lvl>
    <w:lvl w:ilvl="4" w:tplc="CAEAFA6C">
      <w:start w:val="1"/>
      <w:numFmt w:val="bullet"/>
      <w:lvlText w:val=""/>
      <w:lvlJc w:val="left"/>
      <w:pPr>
        <w:ind w:left="720" w:hanging="360"/>
      </w:pPr>
      <w:rPr>
        <w:rFonts w:ascii="Symbol" w:hAnsi="Symbol"/>
      </w:rPr>
    </w:lvl>
    <w:lvl w:ilvl="5" w:tplc="88BE5074">
      <w:start w:val="1"/>
      <w:numFmt w:val="bullet"/>
      <w:lvlText w:val=""/>
      <w:lvlJc w:val="left"/>
      <w:pPr>
        <w:ind w:left="720" w:hanging="360"/>
      </w:pPr>
      <w:rPr>
        <w:rFonts w:ascii="Symbol" w:hAnsi="Symbol"/>
      </w:rPr>
    </w:lvl>
    <w:lvl w:ilvl="6" w:tplc="DE1C9828">
      <w:start w:val="1"/>
      <w:numFmt w:val="bullet"/>
      <w:lvlText w:val=""/>
      <w:lvlJc w:val="left"/>
      <w:pPr>
        <w:ind w:left="720" w:hanging="360"/>
      </w:pPr>
      <w:rPr>
        <w:rFonts w:ascii="Symbol" w:hAnsi="Symbol"/>
      </w:rPr>
    </w:lvl>
    <w:lvl w:ilvl="7" w:tplc="C4BA9974">
      <w:start w:val="1"/>
      <w:numFmt w:val="bullet"/>
      <w:lvlText w:val=""/>
      <w:lvlJc w:val="left"/>
      <w:pPr>
        <w:ind w:left="720" w:hanging="360"/>
      </w:pPr>
      <w:rPr>
        <w:rFonts w:ascii="Symbol" w:hAnsi="Symbol"/>
      </w:rPr>
    </w:lvl>
    <w:lvl w:ilvl="8" w:tplc="9FEC93BC">
      <w:start w:val="1"/>
      <w:numFmt w:val="bullet"/>
      <w:lvlText w:val=""/>
      <w:lvlJc w:val="left"/>
      <w:pPr>
        <w:ind w:left="720" w:hanging="360"/>
      </w:pPr>
      <w:rPr>
        <w:rFonts w:ascii="Symbol" w:hAnsi="Symbol"/>
      </w:rPr>
    </w:lvl>
  </w:abstractNum>
  <w:abstractNum w:abstractNumId="10" w15:restartNumberingAfterBreak="0">
    <w:nsid w:val="204C2B89"/>
    <w:multiLevelType w:val="hybridMultilevel"/>
    <w:tmpl w:val="1640DDAE"/>
    <w:lvl w:ilvl="0" w:tplc="CAD4BED2">
      <w:start w:val="1"/>
      <w:numFmt w:val="lowerRoman"/>
      <w:lvlText w:val="(%1)"/>
      <w:lvlJc w:val="left"/>
      <w:pPr>
        <w:ind w:left="780" w:hanging="72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1" w15:restartNumberingAfterBreak="0">
    <w:nsid w:val="20673A98"/>
    <w:multiLevelType w:val="hybridMultilevel"/>
    <w:tmpl w:val="1EAACE5C"/>
    <w:lvl w:ilvl="0" w:tplc="4A3AF662">
      <w:start w:val="1"/>
      <w:numFmt w:val="decimal"/>
      <w:lvlText w:val="%1."/>
      <w:lvlJc w:val="left"/>
      <w:pPr>
        <w:ind w:left="1320" w:hanging="360"/>
      </w:pPr>
    </w:lvl>
    <w:lvl w:ilvl="1" w:tplc="A7A4B080">
      <w:start w:val="1"/>
      <w:numFmt w:val="decimal"/>
      <w:lvlText w:val="%2."/>
      <w:lvlJc w:val="left"/>
      <w:pPr>
        <w:ind w:left="1320" w:hanging="360"/>
      </w:pPr>
    </w:lvl>
    <w:lvl w:ilvl="2" w:tplc="8B12AFDA">
      <w:start w:val="1"/>
      <w:numFmt w:val="decimal"/>
      <w:lvlText w:val="%3."/>
      <w:lvlJc w:val="left"/>
      <w:pPr>
        <w:ind w:left="1320" w:hanging="360"/>
      </w:pPr>
    </w:lvl>
    <w:lvl w:ilvl="3" w:tplc="E560126C">
      <w:start w:val="1"/>
      <w:numFmt w:val="decimal"/>
      <w:lvlText w:val="%4."/>
      <w:lvlJc w:val="left"/>
      <w:pPr>
        <w:ind w:left="1320" w:hanging="360"/>
      </w:pPr>
    </w:lvl>
    <w:lvl w:ilvl="4" w:tplc="2CDA2FBE">
      <w:start w:val="1"/>
      <w:numFmt w:val="decimal"/>
      <w:lvlText w:val="%5."/>
      <w:lvlJc w:val="left"/>
      <w:pPr>
        <w:ind w:left="1320" w:hanging="360"/>
      </w:pPr>
    </w:lvl>
    <w:lvl w:ilvl="5" w:tplc="FD44E79A">
      <w:start w:val="1"/>
      <w:numFmt w:val="decimal"/>
      <w:lvlText w:val="%6."/>
      <w:lvlJc w:val="left"/>
      <w:pPr>
        <w:ind w:left="1320" w:hanging="360"/>
      </w:pPr>
    </w:lvl>
    <w:lvl w:ilvl="6" w:tplc="B4A83C5E">
      <w:start w:val="1"/>
      <w:numFmt w:val="decimal"/>
      <w:lvlText w:val="%7."/>
      <w:lvlJc w:val="left"/>
      <w:pPr>
        <w:ind w:left="1320" w:hanging="360"/>
      </w:pPr>
    </w:lvl>
    <w:lvl w:ilvl="7" w:tplc="43DA7938">
      <w:start w:val="1"/>
      <w:numFmt w:val="decimal"/>
      <w:lvlText w:val="%8."/>
      <w:lvlJc w:val="left"/>
      <w:pPr>
        <w:ind w:left="1320" w:hanging="360"/>
      </w:pPr>
    </w:lvl>
    <w:lvl w:ilvl="8" w:tplc="B59CA332">
      <w:start w:val="1"/>
      <w:numFmt w:val="decimal"/>
      <w:lvlText w:val="%9."/>
      <w:lvlJc w:val="left"/>
      <w:pPr>
        <w:ind w:left="1320" w:hanging="360"/>
      </w:pPr>
    </w:lvl>
  </w:abstractNum>
  <w:abstractNum w:abstractNumId="12" w15:restartNumberingAfterBreak="0">
    <w:nsid w:val="21422C51"/>
    <w:multiLevelType w:val="hybridMultilevel"/>
    <w:tmpl w:val="A3020C1E"/>
    <w:lvl w:ilvl="0" w:tplc="559A841A">
      <w:start w:val="1"/>
      <w:numFmt w:val="bullet"/>
      <w:lvlText w:val=""/>
      <w:lvlJc w:val="left"/>
      <w:pPr>
        <w:ind w:left="1080" w:hanging="360"/>
      </w:pPr>
      <w:rPr>
        <w:rFonts w:ascii="Symbol" w:hAnsi="Symbol"/>
      </w:rPr>
    </w:lvl>
    <w:lvl w:ilvl="1" w:tplc="70F2544C">
      <w:start w:val="1"/>
      <w:numFmt w:val="bullet"/>
      <w:lvlText w:val=""/>
      <w:lvlJc w:val="left"/>
      <w:pPr>
        <w:ind w:left="1080" w:hanging="360"/>
      </w:pPr>
      <w:rPr>
        <w:rFonts w:ascii="Symbol" w:hAnsi="Symbol"/>
      </w:rPr>
    </w:lvl>
    <w:lvl w:ilvl="2" w:tplc="6E7E6A9E">
      <w:start w:val="1"/>
      <w:numFmt w:val="bullet"/>
      <w:lvlText w:val=""/>
      <w:lvlJc w:val="left"/>
      <w:pPr>
        <w:ind w:left="1080" w:hanging="360"/>
      </w:pPr>
      <w:rPr>
        <w:rFonts w:ascii="Symbol" w:hAnsi="Symbol"/>
      </w:rPr>
    </w:lvl>
    <w:lvl w:ilvl="3" w:tplc="A7783032">
      <w:start w:val="1"/>
      <w:numFmt w:val="bullet"/>
      <w:lvlText w:val=""/>
      <w:lvlJc w:val="left"/>
      <w:pPr>
        <w:ind w:left="1080" w:hanging="360"/>
      </w:pPr>
      <w:rPr>
        <w:rFonts w:ascii="Symbol" w:hAnsi="Symbol"/>
      </w:rPr>
    </w:lvl>
    <w:lvl w:ilvl="4" w:tplc="3BAA509C">
      <w:start w:val="1"/>
      <w:numFmt w:val="bullet"/>
      <w:lvlText w:val=""/>
      <w:lvlJc w:val="left"/>
      <w:pPr>
        <w:ind w:left="1080" w:hanging="360"/>
      </w:pPr>
      <w:rPr>
        <w:rFonts w:ascii="Symbol" w:hAnsi="Symbol"/>
      </w:rPr>
    </w:lvl>
    <w:lvl w:ilvl="5" w:tplc="E14802F4">
      <w:start w:val="1"/>
      <w:numFmt w:val="bullet"/>
      <w:lvlText w:val=""/>
      <w:lvlJc w:val="left"/>
      <w:pPr>
        <w:ind w:left="1080" w:hanging="360"/>
      </w:pPr>
      <w:rPr>
        <w:rFonts w:ascii="Symbol" w:hAnsi="Symbol"/>
      </w:rPr>
    </w:lvl>
    <w:lvl w:ilvl="6" w:tplc="A294773A">
      <w:start w:val="1"/>
      <w:numFmt w:val="bullet"/>
      <w:lvlText w:val=""/>
      <w:lvlJc w:val="left"/>
      <w:pPr>
        <w:ind w:left="1080" w:hanging="360"/>
      </w:pPr>
      <w:rPr>
        <w:rFonts w:ascii="Symbol" w:hAnsi="Symbol"/>
      </w:rPr>
    </w:lvl>
    <w:lvl w:ilvl="7" w:tplc="71B49B4C">
      <w:start w:val="1"/>
      <w:numFmt w:val="bullet"/>
      <w:lvlText w:val=""/>
      <w:lvlJc w:val="left"/>
      <w:pPr>
        <w:ind w:left="1080" w:hanging="360"/>
      </w:pPr>
      <w:rPr>
        <w:rFonts w:ascii="Symbol" w:hAnsi="Symbol"/>
      </w:rPr>
    </w:lvl>
    <w:lvl w:ilvl="8" w:tplc="59B27A5A">
      <w:start w:val="1"/>
      <w:numFmt w:val="bullet"/>
      <w:lvlText w:val=""/>
      <w:lvlJc w:val="left"/>
      <w:pPr>
        <w:ind w:left="1080" w:hanging="360"/>
      </w:pPr>
      <w:rPr>
        <w:rFonts w:ascii="Symbol" w:hAnsi="Symbol"/>
      </w:rPr>
    </w:lvl>
  </w:abstractNum>
  <w:abstractNum w:abstractNumId="13" w15:restartNumberingAfterBreak="0">
    <w:nsid w:val="263C148D"/>
    <w:multiLevelType w:val="hybridMultilevel"/>
    <w:tmpl w:val="0EF07ED0"/>
    <w:lvl w:ilvl="0" w:tplc="3764513E">
      <w:numFmt w:val="bullet"/>
      <w:lvlText w:val="-"/>
      <w:lvlJc w:val="left"/>
      <w:pPr>
        <w:ind w:left="720" w:hanging="360"/>
      </w:pPr>
      <w:rPr>
        <w:rFonts w:ascii="Cambria Math" w:eastAsia="Times New Roman" w:hAnsi="Cambria Math" w:cs="Cambria Math"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C3747D"/>
    <w:multiLevelType w:val="hybridMultilevel"/>
    <w:tmpl w:val="7F927F48"/>
    <w:lvl w:ilvl="0" w:tplc="920A3794">
      <w:start w:val="1"/>
      <w:numFmt w:val="decimal"/>
      <w:lvlText w:val="%1."/>
      <w:lvlJc w:val="left"/>
      <w:pPr>
        <w:ind w:left="1020" w:hanging="360"/>
      </w:pPr>
    </w:lvl>
    <w:lvl w:ilvl="1" w:tplc="7FB853F2">
      <w:start w:val="1"/>
      <w:numFmt w:val="decimal"/>
      <w:lvlText w:val="%2."/>
      <w:lvlJc w:val="left"/>
      <w:pPr>
        <w:ind w:left="1020" w:hanging="360"/>
      </w:pPr>
    </w:lvl>
    <w:lvl w:ilvl="2" w:tplc="BAF03880">
      <w:start w:val="1"/>
      <w:numFmt w:val="decimal"/>
      <w:lvlText w:val="%3."/>
      <w:lvlJc w:val="left"/>
      <w:pPr>
        <w:ind w:left="1020" w:hanging="360"/>
      </w:pPr>
    </w:lvl>
    <w:lvl w:ilvl="3" w:tplc="EF2040D0">
      <w:start w:val="1"/>
      <w:numFmt w:val="decimal"/>
      <w:lvlText w:val="%4."/>
      <w:lvlJc w:val="left"/>
      <w:pPr>
        <w:ind w:left="1020" w:hanging="360"/>
      </w:pPr>
    </w:lvl>
    <w:lvl w:ilvl="4" w:tplc="CB725960">
      <w:start w:val="1"/>
      <w:numFmt w:val="decimal"/>
      <w:lvlText w:val="%5."/>
      <w:lvlJc w:val="left"/>
      <w:pPr>
        <w:ind w:left="1020" w:hanging="360"/>
      </w:pPr>
    </w:lvl>
    <w:lvl w:ilvl="5" w:tplc="4B4054AE">
      <w:start w:val="1"/>
      <w:numFmt w:val="decimal"/>
      <w:lvlText w:val="%6."/>
      <w:lvlJc w:val="left"/>
      <w:pPr>
        <w:ind w:left="1020" w:hanging="360"/>
      </w:pPr>
    </w:lvl>
    <w:lvl w:ilvl="6" w:tplc="1FFC7EE2">
      <w:start w:val="1"/>
      <w:numFmt w:val="decimal"/>
      <w:lvlText w:val="%7."/>
      <w:lvlJc w:val="left"/>
      <w:pPr>
        <w:ind w:left="1020" w:hanging="360"/>
      </w:pPr>
    </w:lvl>
    <w:lvl w:ilvl="7" w:tplc="31B09EFE">
      <w:start w:val="1"/>
      <w:numFmt w:val="decimal"/>
      <w:lvlText w:val="%8."/>
      <w:lvlJc w:val="left"/>
      <w:pPr>
        <w:ind w:left="1020" w:hanging="360"/>
      </w:pPr>
    </w:lvl>
    <w:lvl w:ilvl="8" w:tplc="EB2A6978">
      <w:start w:val="1"/>
      <w:numFmt w:val="decimal"/>
      <w:lvlText w:val="%9."/>
      <w:lvlJc w:val="left"/>
      <w:pPr>
        <w:ind w:left="1020" w:hanging="360"/>
      </w:pPr>
    </w:lvl>
  </w:abstractNum>
  <w:abstractNum w:abstractNumId="15" w15:restartNumberingAfterBreak="0">
    <w:nsid w:val="2B18767E"/>
    <w:multiLevelType w:val="hybridMultilevel"/>
    <w:tmpl w:val="D1B45BD4"/>
    <w:lvl w:ilvl="0" w:tplc="546AEF2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067E65"/>
    <w:multiLevelType w:val="hybridMultilevel"/>
    <w:tmpl w:val="970AC034"/>
    <w:lvl w:ilvl="0" w:tplc="34923D86">
      <w:start w:val="1"/>
      <w:numFmt w:val="decimal"/>
      <w:lvlText w:val="%1."/>
      <w:lvlJc w:val="left"/>
      <w:pPr>
        <w:ind w:left="1440" w:hanging="360"/>
      </w:pPr>
    </w:lvl>
    <w:lvl w:ilvl="1" w:tplc="90268034">
      <w:start w:val="1"/>
      <w:numFmt w:val="decimal"/>
      <w:lvlText w:val="%2."/>
      <w:lvlJc w:val="left"/>
      <w:pPr>
        <w:ind w:left="1440" w:hanging="360"/>
      </w:pPr>
    </w:lvl>
    <w:lvl w:ilvl="2" w:tplc="E29ADB70">
      <w:start w:val="1"/>
      <w:numFmt w:val="decimal"/>
      <w:lvlText w:val="%3."/>
      <w:lvlJc w:val="left"/>
      <w:pPr>
        <w:ind w:left="1440" w:hanging="360"/>
      </w:pPr>
    </w:lvl>
    <w:lvl w:ilvl="3" w:tplc="FE4A1340">
      <w:start w:val="1"/>
      <w:numFmt w:val="decimal"/>
      <w:lvlText w:val="%4."/>
      <w:lvlJc w:val="left"/>
      <w:pPr>
        <w:ind w:left="1440" w:hanging="360"/>
      </w:pPr>
    </w:lvl>
    <w:lvl w:ilvl="4" w:tplc="BF7C8BDC">
      <w:start w:val="1"/>
      <w:numFmt w:val="decimal"/>
      <w:lvlText w:val="%5."/>
      <w:lvlJc w:val="left"/>
      <w:pPr>
        <w:ind w:left="1440" w:hanging="360"/>
      </w:pPr>
    </w:lvl>
    <w:lvl w:ilvl="5" w:tplc="E398E346">
      <w:start w:val="1"/>
      <w:numFmt w:val="decimal"/>
      <w:lvlText w:val="%6."/>
      <w:lvlJc w:val="left"/>
      <w:pPr>
        <w:ind w:left="1440" w:hanging="360"/>
      </w:pPr>
    </w:lvl>
    <w:lvl w:ilvl="6" w:tplc="A0A20FBC">
      <w:start w:val="1"/>
      <w:numFmt w:val="decimal"/>
      <w:lvlText w:val="%7."/>
      <w:lvlJc w:val="left"/>
      <w:pPr>
        <w:ind w:left="1440" w:hanging="360"/>
      </w:pPr>
    </w:lvl>
    <w:lvl w:ilvl="7" w:tplc="E1A89444">
      <w:start w:val="1"/>
      <w:numFmt w:val="decimal"/>
      <w:lvlText w:val="%8."/>
      <w:lvlJc w:val="left"/>
      <w:pPr>
        <w:ind w:left="1440" w:hanging="360"/>
      </w:pPr>
    </w:lvl>
    <w:lvl w:ilvl="8" w:tplc="7A7C7564">
      <w:start w:val="1"/>
      <w:numFmt w:val="decimal"/>
      <w:lvlText w:val="%9."/>
      <w:lvlJc w:val="left"/>
      <w:pPr>
        <w:ind w:left="1440" w:hanging="360"/>
      </w:pPr>
    </w:lvl>
  </w:abstractNum>
  <w:abstractNum w:abstractNumId="17" w15:restartNumberingAfterBreak="0">
    <w:nsid w:val="2F9C2616"/>
    <w:multiLevelType w:val="hybridMultilevel"/>
    <w:tmpl w:val="A5F2D1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294503"/>
    <w:multiLevelType w:val="hybridMultilevel"/>
    <w:tmpl w:val="860CF02E"/>
    <w:lvl w:ilvl="0" w:tplc="B902F484">
      <w:start w:val="1"/>
      <w:numFmt w:val="bullet"/>
      <w:lvlText w:val=""/>
      <w:lvlJc w:val="left"/>
      <w:pPr>
        <w:ind w:left="720" w:hanging="360"/>
      </w:pPr>
      <w:rPr>
        <w:rFonts w:ascii="Symbol" w:hAnsi="Symbol"/>
      </w:rPr>
    </w:lvl>
    <w:lvl w:ilvl="1" w:tplc="F534853A">
      <w:start w:val="1"/>
      <w:numFmt w:val="bullet"/>
      <w:lvlText w:val=""/>
      <w:lvlJc w:val="left"/>
      <w:pPr>
        <w:ind w:left="720" w:hanging="360"/>
      </w:pPr>
      <w:rPr>
        <w:rFonts w:ascii="Symbol" w:hAnsi="Symbol"/>
      </w:rPr>
    </w:lvl>
    <w:lvl w:ilvl="2" w:tplc="86468E8C">
      <w:start w:val="1"/>
      <w:numFmt w:val="bullet"/>
      <w:lvlText w:val=""/>
      <w:lvlJc w:val="left"/>
      <w:pPr>
        <w:ind w:left="720" w:hanging="360"/>
      </w:pPr>
      <w:rPr>
        <w:rFonts w:ascii="Symbol" w:hAnsi="Symbol"/>
      </w:rPr>
    </w:lvl>
    <w:lvl w:ilvl="3" w:tplc="2C9CA730">
      <w:start w:val="1"/>
      <w:numFmt w:val="bullet"/>
      <w:lvlText w:val=""/>
      <w:lvlJc w:val="left"/>
      <w:pPr>
        <w:ind w:left="720" w:hanging="360"/>
      </w:pPr>
      <w:rPr>
        <w:rFonts w:ascii="Symbol" w:hAnsi="Symbol"/>
      </w:rPr>
    </w:lvl>
    <w:lvl w:ilvl="4" w:tplc="83F6F052">
      <w:start w:val="1"/>
      <w:numFmt w:val="bullet"/>
      <w:lvlText w:val=""/>
      <w:lvlJc w:val="left"/>
      <w:pPr>
        <w:ind w:left="720" w:hanging="360"/>
      </w:pPr>
      <w:rPr>
        <w:rFonts w:ascii="Symbol" w:hAnsi="Symbol"/>
      </w:rPr>
    </w:lvl>
    <w:lvl w:ilvl="5" w:tplc="FFC836C0">
      <w:start w:val="1"/>
      <w:numFmt w:val="bullet"/>
      <w:lvlText w:val=""/>
      <w:lvlJc w:val="left"/>
      <w:pPr>
        <w:ind w:left="720" w:hanging="360"/>
      </w:pPr>
      <w:rPr>
        <w:rFonts w:ascii="Symbol" w:hAnsi="Symbol"/>
      </w:rPr>
    </w:lvl>
    <w:lvl w:ilvl="6" w:tplc="EB687E46">
      <w:start w:val="1"/>
      <w:numFmt w:val="bullet"/>
      <w:lvlText w:val=""/>
      <w:lvlJc w:val="left"/>
      <w:pPr>
        <w:ind w:left="720" w:hanging="360"/>
      </w:pPr>
      <w:rPr>
        <w:rFonts w:ascii="Symbol" w:hAnsi="Symbol"/>
      </w:rPr>
    </w:lvl>
    <w:lvl w:ilvl="7" w:tplc="B892528A">
      <w:start w:val="1"/>
      <w:numFmt w:val="bullet"/>
      <w:lvlText w:val=""/>
      <w:lvlJc w:val="left"/>
      <w:pPr>
        <w:ind w:left="720" w:hanging="360"/>
      </w:pPr>
      <w:rPr>
        <w:rFonts w:ascii="Symbol" w:hAnsi="Symbol"/>
      </w:rPr>
    </w:lvl>
    <w:lvl w:ilvl="8" w:tplc="ED2EA59C">
      <w:start w:val="1"/>
      <w:numFmt w:val="bullet"/>
      <w:lvlText w:val=""/>
      <w:lvlJc w:val="left"/>
      <w:pPr>
        <w:ind w:left="720" w:hanging="360"/>
      </w:pPr>
      <w:rPr>
        <w:rFonts w:ascii="Symbol" w:hAnsi="Symbol"/>
      </w:rPr>
    </w:lvl>
  </w:abstractNum>
  <w:abstractNum w:abstractNumId="19" w15:restartNumberingAfterBreak="0">
    <w:nsid w:val="341954A6"/>
    <w:multiLevelType w:val="hybridMultilevel"/>
    <w:tmpl w:val="6BF64A2A"/>
    <w:lvl w:ilvl="0" w:tplc="B590CBF0">
      <w:start w:val="1"/>
      <w:numFmt w:val="decimal"/>
      <w:lvlText w:val="%1."/>
      <w:lvlJc w:val="left"/>
      <w:pPr>
        <w:ind w:left="1020" w:hanging="360"/>
      </w:pPr>
    </w:lvl>
    <w:lvl w:ilvl="1" w:tplc="71AAF5CA">
      <w:start w:val="1"/>
      <w:numFmt w:val="decimal"/>
      <w:lvlText w:val="%2."/>
      <w:lvlJc w:val="left"/>
      <w:pPr>
        <w:ind w:left="1020" w:hanging="360"/>
      </w:pPr>
    </w:lvl>
    <w:lvl w:ilvl="2" w:tplc="E71E271C">
      <w:start w:val="1"/>
      <w:numFmt w:val="decimal"/>
      <w:lvlText w:val="%3."/>
      <w:lvlJc w:val="left"/>
      <w:pPr>
        <w:ind w:left="1020" w:hanging="360"/>
      </w:pPr>
    </w:lvl>
    <w:lvl w:ilvl="3" w:tplc="B6D8FB70">
      <w:start w:val="1"/>
      <w:numFmt w:val="decimal"/>
      <w:lvlText w:val="%4."/>
      <w:lvlJc w:val="left"/>
      <w:pPr>
        <w:ind w:left="1020" w:hanging="360"/>
      </w:pPr>
    </w:lvl>
    <w:lvl w:ilvl="4" w:tplc="A2286F6E">
      <w:start w:val="1"/>
      <w:numFmt w:val="decimal"/>
      <w:lvlText w:val="%5."/>
      <w:lvlJc w:val="left"/>
      <w:pPr>
        <w:ind w:left="1020" w:hanging="360"/>
      </w:pPr>
    </w:lvl>
    <w:lvl w:ilvl="5" w:tplc="2A4C2412">
      <w:start w:val="1"/>
      <w:numFmt w:val="decimal"/>
      <w:lvlText w:val="%6."/>
      <w:lvlJc w:val="left"/>
      <w:pPr>
        <w:ind w:left="1020" w:hanging="360"/>
      </w:pPr>
    </w:lvl>
    <w:lvl w:ilvl="6" w:tplc="376E031E">
      <w:start w:val="1"/>
      <w:numFmt w:val="decimal"/>
      <w:lvlText w:val="%7."/>
      <w:lvlJc w:val="left"/>
      <w:pPr>
        <w:ind w:left="1020" w:hanging="360"/>
      </w:pPr>
    </w:lvl>
    <w:lvl w:ilvl="7" w:tplc="DA5C8DAE">
      <w:start w:val="1"/>
      <w:numFmt w:val="decimal"/>
      <w:lvlText w:val="%8."/>
      <w:lvlJc w:val="left"/>
      <w:pPr>
        <w:ind w:left="1020" w:hanging="360"/>
      </w:pPr>
    </w:lvl>
    <w:lvl w:ilvl="8" w:tplc="F8161A10">
      <w:start w:val="1"/>
      <w:numFmt w:val="decimal"/>
      <w:lvlText w:val="%9."/>
      <w:lvlJc w:val="left"/>
      <w:pPr>
        <w:ind w:left="1020" w:hanging="360"/>
      </w:pPr>
    </w:lvl>
  </w:abstractNum>
  <w:abstractNum w:abstractNumId="20" w15:restartNumberingAfterBreak="0">
    <w:nsid w:val="36B57FA4"/>
    <w:multiLevelType w:val="hybridMultilevel"/>
    <w:tmpl w:val="1E12FEF0"/>
    <w:lvl w:ilvl="0" w:tplc="F05A2B66">
      <w:start w:val="1"/>
      <w:numFmt w:val="bullet"/>
      <w:lvlText w:val=""/>
      <w:lvlJc w:val="left"/>
      <w:pPr>
        <w:ind w:left="1080" w:hanging="360"/>
      </w:pPr>
      <w:rPr>
        <w:rFonts w:ascii="Symbol" w:hAnsi="Symbol"/>
      </w:rPr>
    </w:lvl>
    <w:lvl w:ilvl="1" w:tplc="74322538">
      <w:start w:val="1"/>
      <w:numFmt w:val="bullet"/>
      <w:lvlText w:val=""/>
      <w:lvlJc w:val="left"/>
      <w:pPr>
        <w:ind w:left="1080" w:hanging="360"/>
      </w:pPr>
      <w:rPr>
        <w:rFonts w:ascii="Symbol" w:hAnsi="Symbol"/>
      </w:rPr>
    </w:lvl>
    <w:lvl w:ilvl="2" w:tplc="57CCAD58">
      <w:start w:val="1"/>
      <w:numFmt w:val="bullet"/>
      <w:lvlText w:val=""/>
      <w:lvlJc w:val="left"/>
      <w:pPr>
        <w:ind w:left="1080" w:hanging="360"/>
      </w:pPr>
      <w:rPr>
        <w:rFonts w:ascii="Symbol" w:hAnsi="Symbol"/>
      </w:rPr>
    </w:lvl>
    <w:lvl w:ilvl="3" w:tplc="8F145F7C">
      <w:start w:val="1"/>
      <w:numFmt w:val="bullet"/>
      <w:lvlText w:val=""/>
      <w:lvlJc w:val="left"/>
      <w:pPr>
        <w:ind w:left="1080" w:hanging="360"/>
      </w:pPr>
      <w:rPr>
        <w:rFonts w:ascii="Symbol" w:hAnsi="Symbol"/>
      </w:rPr>
    </w:lvl>
    <w:lvl w:ilvl="4" w:tplc="710C3A1A">
      <w:start w:val="1"/>
      <w:numFmt w:val="bullet"/>
      <w:lvlText w:val=""/>
      <w:lvlJc w:val="left"/>
      <w:pPr>
        <w:ind w:left="1080" w:hanging="360"/>
      </w:pPr>
      <w:rPr>
        <w:rFonts w:ascii="Symbol" w:hAnsi="Symbol"/>
      </w:rPr>
    </w:lvl>
    <w:lvl w:ilvl="5" w:tplc="4AE483C6">
      <w:start w:val="1"/>
      <w:numFmt w:val="bullet"/>
      <w:lvlText w:val=""/>
      <w:lvlJc w:val="left"/>
      <w:pPr>
        <w:ind w:left="1080" w:hanging="360"/>
      </w:pPr>
      <w:rPr>
        <w:rFonts w:ascii="Symbol" w:hAnsi="Symbol"/>
      </w:rPr>
    </w:lvl>
    <w:lvl w:ilvl="6" w:tplc="B79A3D6C">
      <w:start w:val="1"/>
      <w:numFmt w:val="bullet"/>
      <w:lvlText w:val=""/>
      <w:lvlJc w:val="left"/>
      <w:pPr>
        <w:ind w:left="1080" w:hanging="360"/>
      </w:pPr>
      <w:rPr>
        <w:rFonts w:ascii="Symbol" w:hAnsi="Symbol"/>
      </w:rPr>
    </w:lvl>
    <w:lvl w:ilvl="7" w:tplc="C0D8B1D6">
      <w:start w:val="1"/>
      <w:numFmt w:val="bullet"/>
      <w:lvlText w:val=""/>
      <w:lvlJc w:val="left"/>
      <w:pPr>
        <w:ind w:left="1080" w:hanging="360"/>
      </w:pPr>
      <w:rPr>
        <w:rFonts w:ascii="Symbol" w:hAnsi="Symbol"/>
      </w:rPr>
    </w:lvl>
    <w:lvl w:ilvl="8" w:tplc="DE1A40B8">
      <w:start w:val="1"/>
      <w:numFmt w:val="bullet"/>
      <w:lvlText w:val=""/>
      <w:lvlJc w:val="left"/>
      <w:pPr>
        <w:ind w:left="1080" w:hanging="360"/>
      </w:pPr>
      <w:rPr>
        <w:rFonts w:ascii="Symbol" w:hAnsi="Symbol"/>
      </w:rPr>
    </w:lvl>
  </w:abstractNum>
  <w:abstractNum w:abstractNumId="21" w15:restartNumberingAfterBreak="0">
    <w:nsid w:val="37847948"/>
    <w:multiLevelType w:val="hybridMultilevel"/>
    <w:tmpl w:val="17128828"/>
    <w:lvl w:ilvl="0" w:tplc="0C186E10">
      <w:start w:val="1"/>
      <w:numFmt w:val="decimal"/>
      <w:lvlText w:val="%1."/>
      <w:lvlJc w:val="left"/>
      <w:pPr>
        <w:ind w:left="1440" w:hanging="360"/>
      </w:pPr>
    </w:lvl>
    <w:lvl w:ilvl="1" w:tplc="C79C42AE">
      <w:start w:val="1"/>
      <w:numFmt w:val="decimal"/>
      <w:lvlText w:val="%2."/>
      <w:lvlJc w:val="left"/>
      <w:pPr>
        <w:ind w:left="1440" w:hanging="360"/>
      </w:pPr>
    </w:lvl>
    <w:lvl w:ilvl="2" w:tplc="8012C88A">
      <w:start w:val="1"/>
      <w:numFmt w:val="decimal"/>
      <w:lvlText w:val="%3."/>
      <w:lvlJc w:val="left"/>
      <w:pPr>
        <w:ind w:left="1440" w:hanging="360"/>
      </w:pPr>
    </w:lvl>
    <w:lvl w:ilvl="3" w:tplc="ED440CC6">
      <w:start w:val="1"/>
      <w:numFmt w:val="decimal"/>
      <w:lvlText w:val="%4."/>
      <w:lvlJc w:val="left"/>
      <w:pPr>
        <w:ind w:left="1440" w:hanging="360"/>
      </w:pPr>
    </w:lvl>
    <w:lvl w:ilvl="4" w:tplc="4DBE005C">
      <w:start w:val="1"/>
      <w:numFmt w:val="decimal"/>
      <w:lvlText w:val="%5."/>
      <w:lvlJc w:val="left"/>
      <w:pPr>
        <w:ind w:left="1440" w:hanging="360"/>
      </w:pPr>
    </w:lvl>
    <w:lvl w:ilvl="5" w:tplc="44ACDA1A">
      <w:start w:val="1"/>
      <w:numFmt w:val="decimal"/>
      <w:lvlText w:val="%6."/>
      <w:lvlJc w:val="left"/>
      <w:pPr>
        <w:ind w:left="1440" w:hanging="360"/>
      </w:pPr>
    </w:lvl>
    <w:lvl w:ilvl="6" w:tplc="92287CE2">
      <w:start w:val="1"/>
      <w:numFmt w:val="decimal"/>
      <w:lvlText w:val="%7."/>
      <w:lvlJc w:val="left"/>
      <w:pPr>
        <w:ind w:left="1440" w:hanging="360"/>
      </w:pPr>
    </w:lvl>
    <w:lvl w:ilvl="7" w:tplc="81C606EE">
      <w:start w:val="1"/>
      <w:numFmt w:val="decimal"/>
      <w:lvlText w:val="%8."/>
      <w:lvlJc w:val="left"/>
      <w:pPr>
        <w:ind w:left="1440" w:hanging="360"/>
      </w:pPr>
    </w:lvl>
    <w:lvl w:ilvl="8" w:tplc="54C0B578">
      <w:start w:val="1"/>
      <w:numFmt w:val="decimal"/>
      <w:lvlText w:val="%9."/>
      <w:lvlJc w:val="left"/>
      <w:pPr>
        <w:ind w:left="1440" w:hanging="360"/>
      </w:pPr>
    </w:lvl>
  </w:abstractNum>
  <w:abstractNum w:abstractNumId="22" w15:restartNumberingAfterBreak="0">
    <w:nsid w:val="3A1C0D33"/>
    <w:multiLevelType w:val="hybridMultilevel"/>
    <w:tmpl w:val="15C488BA"/>
    <w:lvl w:ilvl="0" w:tplc="AD343D2E">
      <w:start w:val="1"/>
      <w:numFmt w:val="bullet"/>
      <w:lvlText w:val=""/>
      <w:lvlJc w:val="left"/>
      <w:pPr>
        <w:ind w:left="1080" w:hanging="360"/>
      </w:pPr>
      <w:rPr>
        <w:rFonts w:ascii="Symbol" w:hAnsi="Symbol"/>
      </w:rPr>
    </w:lvl>
    <w:lvl w:ilvl="1" w:tplc="9470277C">
      <w:start w:val="1"/>
      <w:numFmt w:val="bullet"/>
      <w:lvlText w:val=""/>
      <w:lvlJc w:val="left"/>
      <w:pPr>
        <w:ind w:left="1080" w:hanging="360"/>
      </w:pPr>
      <w:rPr>
        <w:rFonts w:ascii="Symbol" w:hAnsi="Symbol"/>
      </w:rPr>
    </w:lvl>
    <w:lvl w:ilvl="2" w:tplc="18BEB260">
      <w:start w:val="1"/>
      <w:numFmt w:val="bullet"/>
      <w:lvlText w:val=""/>
      <w:lvlJc w:val="left"/>
      <w:pPr>
        <w:ind w:left="1080" w:hanging="360"/>
      </w:pPr>
      <w:rPr>
        <w:rFonts w:ascii="Symbol" w:hAnsi="Symbol"/>
      </w:rPr>
    </w:lvl>
    <w:lvl w:ilvl="3" w:tplc="A99AE9E8">
      <w:start w:val="1"/>
      <w:numFmt w:val="bullet"/>
      <w:lvlText w:val=""/>
      <w:lvlJc w:val="left"/>
      <w:pPr>
        <w:ind w:left="1080" w:hanging="360"/>
      </w:pPr>
      <w:rPr>
        <w:rFonts w:ascii="Symbol" w:hAnsi="Symbol"/>
      </w:rPr>
    </w:lvl>
    <w:lvl w:ilvl="4" w:tplc="11A2C82C">
      <w:start w:val="1"/>
      <w:numFmt w:val="bullet"/>
      <w:lvlText w:val=""/>
      <w:lvlJc w:val="left"/>
      <w:pPr>
        <w:ind w:left="1080" w:hanging="360"/>
      </w:pPr>
      <w:rPr>
        <w:rFonts w:ascii="Symbol" w:hAnsi="Symbol"/>
      </w:rPr>
    </w:lvl>
    <w:lvl w:ilvl="5" w:tplc="F11084B4">
      <w:start w:val="1"/>
      <w:numFmt w:val="bullet"/>
      <w:lvlText w:val=""/>
      <w:lvlJc w:val="left"/>
      <w:pPr>
        <w:ind w:left="1080" w:hanging="360"/>
      </w:pPr>
      <w:rPr>
        <w:rFonts w:ascii="Symbol" w:hAnsi="Symbol"/>
      </w:rPr>
    </w:lvl>
    <w:lvl w:ilvl="6" w:tplc="5F62A5D4">
      <w:start w:val="1"/>
      <w:numFmt w:val="bullet"/>
      <w:lvlText w:val=""/>
      <w:lvlJc w:val="left"/>
      <w:pPr>
        <w:ind w:left="1080" w:hanging="360"/>
      </w:pPr>
      <w:rPr>
        <w:rFonts w:ascii="Symbol" w:hAnsi="Symbol"/>
      </w:rPr>
    </w:lvl>
    <w:lvl w:ilvl="7" w:tplc="5FC6C0FC">
      <w:start w:val="1"/>
      <w:numFmt w:val="bullet"/>
      <w:lvlText w:val=""/>
      <w:lvlJc w:val="left"/>
      <w:pPr>
        <w:ind w:left="1080" w:hanging="360"/>
      </w:pPr>
      <w:rPr>
        <w:rFonts w:ascii="Symbol" w:hAnsi="Symbol"/>
      </w:rPr>
    </w:lvl>
    <w:lvl w:ilvl="8" w:tplc="25CA0698">
      <w:start w:val="1"/>
      <w:numFmt w:val="bullet"/>
      <w:lvlText w:val=""/>
      <w:lvlJc w:val="left"/>
      <w:pPr>
        <w:ind w:left="1080" w:hanging="360"/>
      </w:pPr>
      <w:rPr>
        <w:rFonts w:ascii="Symbol" w:hAnsi="Symbol"/>
      </w:rPr>
    </w:lvl>
  </w:abstractNum>
  <w:abstractNum w:abstractNumId="23" w15:restartNumberingAfterBreak="0">
    <w:nsid w:val="3A1C0DF6"/>
    <w:multiLevelType w:val="hybridMultilevel"/>
    <w:tmpl w:val="A732CBE4"/>
    <w:lvl w:ilvl="0" w:tplc="A3208918">
      <w:start w:val="1"/>
      <w:numFmt w:val="bullet"/>
      <w:lvlText w:val=""/>
      <w:lvlJc w:val="left"/>
      <w:pPr>
        <w:ind w:left="1080" w:hanging="360"/>
      </w:pPr>
      <w:rPr>
        <w:rFonts w:ascii="Symbol" w:hAnsi="Symbol"/>
      </w:rPr>
    </w:lvl>
    <w:lvl w:ilvl="1" w:tplc="DA0ED51C">
      <w:start w:val="1"/>
      <w:numFmt w:val="bullet"/>
      <w:lvlText w:val=""/>
      <w:lvlJc w:val="left"/>
      <w:pPr>
        <w:ind w:left="1080" w:hanging="360"/>
      </w:pPr>
      <w:rPr>
        <w:rFonts w:ascii="Symbol" w:hAnsi="Symbol"/>
      </w:rPr>
    </w:lvl>
    <w:lvl w:ilvl="2" w:tplc="3E6C0EBC">
      <w:start w:val="1"/>
      <w:numFmt w:val="bullet"/>
      <w:lvlText w:val=""/>
      <w:lvlJc w:val="left"/>
      <w:pPr>
        <w:ind w:left="1080" w:hanging="360"/>
      </w:pPr>
      <w:rPr>
        <w:rFonts w:ascii="Symbol" w:hAnsi="Symbol"/>
      </w:rPr>
    </w:lvl>
    <w:lvl w:ilvl="3" w:tplc="A00A17D0">
      <w:start w:val="1"/>
      <w:numFmt w:val="bullet"/>
      <w:lvlText w:val=""/>
      <w:lvlJc w:val="left"/>
      <w:pPr>
        <w:ind w:left="1080" w:hanging="360"/>
      </w:pPr>
      <w:rPr>
        <w:rFonts w:ascii="Symbol" w:hAnsi="Symbol"/>
      </w:rPr>
    </w:lvl>
    <w:lvl w:ilvl="4" w:tplc="CA2C8D56">
      <w:start w:val="1"/>
      <w:numFmt w:val="bullet"/>
      <w:lvlText w:val=""/>
      <w:lvlJc w:val="left"/>
      <w:pPr>
        <w:ind w:left="1080" w:hanging="360"/>
      </w:pPr>
      <w:rPr>
        <w:rFonts w:ascii="Symbol" w:hAnsi="Symbol"/>
      </w:rPr>
    </w:lvl>
    <w:lvl w:ilvl="5" w:tplc="8D5A332A">
      <w:start w:val="1"/>
      <w:numFmt w:val="bullet"/>
      <w:lvlText w:val=""/>
      <w:lvlJc w:val="left"/>
      <w:pPr>
        <w:ind w:left="1080" w:hanging="360"/>
      </w:pPr>
      <w:rPr>
        <w:rFonts w:ascii="Symbol" w:hAnsi="Symbol"/>
      </w:rPr>
    </w:lvl>
    <w:lvl w:ilvl="6" w:tplc="46DCF186">
      <w:start w:val="1"/>
      <w:numFmt w:val="bullet"/>
      <w:lvlText w:val=""/>
      <w:lvlJc w:val="left"/>
      <w:pPr>
        <w:ind w:left="1080" w:hanging="360"/>
      </w:pPr>
      <w:rPr>
        <w:rFonts w:ascii="Symbol" w:hAnsi="Symbol"/>
      </w:rPr>
    </w:lvl>
    <w:lvl w:ilvl="7" w:tplc="5C42D01A">
      <w:start w:val="1"/>
      <w:numFmt w:val="bullet"/>
      <w:lvlText w:val=""/>
      <w:lvlJc w:val="left"/>
      <w:pPr>
        <w:ind w:left="1080" w:hanging="360"/>
      </w:pPr>
      <w:rPr>
        <w:rFonts w:ascii="Symbol" w:hAnsi="Symbol"/>
      </w:rPr>
    </w:lvl>
    <w:lvl w:ilvl="8" w:tplc="F7E6CF6C">
      <w:start w:val="1"/>
      <w:numFmt w:val="bullet"/>
      <w:lvlText w:val=""/>
      <w:lvlJc w:val="left"/>
      <w:pPr>
        <w:ind w:left="1080" w:hanging="360"/>
      </w:pPr>
      <w:rPr>
        <w:rFonts w:ascii="Symbol" w:hAnsi="Symbol"/>
      </w:rPr>
    </w:lvl>
  </w:abstractNum>
  <w:abstractNum w:abstractNumId="24" w15:restartNumberingAfterBreak="0">
    <w:nsid w:val="3AF761C5"/>
    <w:multiLevelType w:val="hybridMultilevel"/>
    <w:tmpl w:val="254ADC44"/>
    <w:lvl w:ilvl="0" w:tplc="C9569A20">
      <w:start w:val="1"/>
      <w:numFmt w:val="bullet"/>
      <w:lvlText w:val=""/>
      <w:lvlJc w:val="left"/>
      <w:pPr>
        <w:ind w:left="720" w:hanging="360"/>
      </w:pPr>
      <w:rPr>
        <w:rFonts w:ascii="Symbol" w:hAnsi="Symbol"/>
      </w:rPr>
    </w:lvl>
    <w:lvl w:ilvl="1" w:tplc="2F6239FE">
      <w:start w:val="1"/>
      <w:numFmt w:val="bullet"/>
      <w:lvlText w:val=""/>
      <w:lvlJc w:val="left"/>
      <w:pPr>
        <w:ind w:left="720" w:hanging="360"/>
      </w:pPr>
      <w:rPr>
        <w:rFonts w:ascii="Symbol" w:hAnsi="Symbol"/>
      </w:rPr>
    </w:lvl>
    <w:lvl w:ilvl="2" w:tplc="13D67566">
      <w:start w:val="1"/>
      <w:numFmt w:val="bullet"/>
      <w:lvlText w:val=""/>
      <w:lvlJc w:val="left"/>
      <w:pPr>
        <w:ind w:left="720" w:hanging="360"/>
      </w:pPr>
      <w:rPr>
        <w:rFonts w:ascii="Symbol" w:hAnsi="Symbol"/>
      </w:rPr>
    </w:lvl>
    <w:lvl w:ilvl="3" w:tplc="2B10828E">
      <w:start w:val="1"/>
      <w:numFmt w:val="bullet"/>
      <w:lvlText w:val=""/>
      <w:lvlJc w:val="left"/>
      <w:pPr>
        <w:ind w:left="720" w:hanging="360"/>
      </w:pPr>
      <w:rPr>
        <w:rFonts w:ascii="Symbol" w:hAnsi="Symbol"/>
      </w:rPr>
    </w:lvl>
    <w:lvl w:ilvl="4" w:tplc="14822704">
      <w:start w:val="1"/>
      <w:numFmt w:val="bullet"/>
      <w:lvlText w:val=""/>
      <w:lvlJc w:val="left"/>
      <w:pPr>
        <w:ind w:left="720" w:hanging="360"/>
      </w:pPr>
      <w:rPr>
        <w:rFonts w:ascii="Symbol" w:hAnsi="Symbol"/>
      </w:rPr>
    </w:lvl>
    <w:lvl w:ilvl="5" w:tplc="4C9EB42A">
      <w:start w:val="1"/>
      <w:numFmt w:val="bullet"/>
      <w:lvlText w:val=""/>
      <w:lvlJc w:val="left"/>
      <w:pPr>
        <w:ind w:left="720" w:hanging="360"/>
      </w:pPr>
      <w:rPr>
        <w:rFonts w:ascii="Symbol" w:hAnsi="Symbol"/>
      </w:rPr>
    </w:lvl>
    <w:lvl w:ilvl="6" w:tplc="5476C36C">
      <w:start w:val="1"/>
      <w:numFmt w:val="bullet"/>
      <w:lvlText w:val=""/>
      <w:lvlJc w:val="left"/>
      <w:pPr>
        <w:ind w:left="720" w:hanging="360"/>
      </w:pPr>
      <w:rPr>
        <w:rFonts w:ascii="Symbol" w:hAnsi="Symbol"/>
      </w:rPr>
    </w:lvl>
    <w:lvl w:ilvl="7" w:tplc="7B8415FC">
      <w:start w:val="1"/>
      <w:numFmt w:val="bullet"/>
      <w:lvlText w:val=""/>
      <w:lvlJc w:val="left"/>
      <w:pPr>
        <w:ind w:left="720" w:hanging="360"/>
      </w:pPr>
      <w:rPr>
        <w:rFonts w:ascii="Symbol" w:hAnsi="Symbol"/>
      </w:rPr>
    </w:lvl>
    <w:lvl w:ilvl="8" w:tplc="C14055DA">
      <w:start w:val="1"/>
      <w:numFmt w:val="bullet"/>
      <w:lvlText w:val=""/>
      <w:lvlJc w:val="left"/>
      <w:pPr>
        <w:ind w:left="720" w:hanging="360"/>
      </w:pPr>
      <w:rPr>
        <w:rFonts w:ascii="Symbol" w:hAnsi="Symbol"/>
      </w:rPr>
    </w:lvl>
  </w:abstractNum>
  <w:abstractNum w:abstractNumId="25" w15:restartNumberingAfterBreak="0">
    <w:nsid w:val="40C632C1"/>
    <w:multiLevelType w:val="hybridMultilevel"/>
    <w:tmpl w:val="90D4C30A"/>
    <w:lvl w:ilvl="0" w:tplc="D3003D4E">
      <w:start w:val="1"/>
      <w:numFmt w:val="bullet"/>
      <w:lvlText w:val=""/>
      <w:lvlJc w:val="left"/>
      <w:pPr>
        <w:ind w:left="720" w:hanging="360"/>
      </w:pPr>
      <w:rPr>
        <w:rFonts w:ascii="Symbol" w:hAnsi="Symbol"/>
      </w:rPr>
    </w:lvl>
    <w:lvl w:ilvl="1" w:tplc="46D0F302">
      <w:start w:val="1"/>
      <w:numFmt w:val="bullet"/>
      <w:lvlText w:val=""/>
      <w:lvlJc w:val="left"/>
      <w:pPr>
        <w:ind w:left="720" w:hanging="360"/>
      </w:pPr>
      <w:rPr>
        <w:rFonts w:ascii="Symbol" w:hAnsi="Symbol"/>
      </w:rPr>
    </w:lvl>
    <w:lvl w:ilvl="2" w:tplc="43A47E40">
      <w:start w:val="1"/>
      <w:numFmt w:val="bullet"/>
      <w:lvlText w:val=""/>
      <w:lvlJc w:val="left"/>
      <w:pPr>
        <w:ind w:left="720" w:hanging="360"/>
      </w:pPr>
      <w:rPr>
        <w:rFonts w:ascii="Symbol" w:hAnsi="Symbol"/>
      </w:rPr>
    </w:lvl>
    <w:lvl w:ilvl="3" w:tplc="ECA2C786">
      <w:start w:val="1"/>
      <w:numFmt w:val="bullet"/>
      <w:lvlText w:val=""/>
      <w:lvlJc w:val="left"/>
      <w:pPr>
        <w:ind w:left="720" w:hanging="360"/>
      </w:pPr>
      <w:rPr>
        <w:rFonts w:ascii="Symbol" w:hAnsi="Symbol"/>
      </w:rPr>
    </w:lvl>
    <w:lvl w:ilvl="4" w:tplc="D7743572">
      <w:start w:val="1"/>
      <w:numFmt w:val="bullet"/>
      <w:lvlText w:val=""/>
      <w:lvlJc w:val="left"/>
      <w:pPr>
        <w:ind w:left="720" w:hanging="360"/>
      </w:pPr>
      <w:rPr>
        <w:rFonts w:ascii="Symbol" w:hAnsi="Symbol"/>
      </w:rPr>
    </w:lvl>
    <w:lvl w:ilvl="5" w:tplc="C388D32C">
      <w:start w:val="1"/>
      <w:numFmt w:val="bullet"/>
      <w:lvlText w:val=""/>
      <w:lvlJc w:val="left"/>
      <w:pPr>
        <w:ind w:left="720" w:hanging="360"/>
      </w:pPr>
      <w:rPr>
        <w:rFonts w:ascii="Symbol" w:hAnsi="Symbol"/>
      </w:rPr>
    </w:lvl>
    <w:lvl w:ilvl="6" w:tplc="DFAAF72E">
      <w:start w:val="1"/>
      <w:numFmt w:val="bullet"/>
      <w:lvlText w:val=""/>
      <w:lvlJc w:val="left"/>
      <w:pPr>
        <w:ind w:left="720" w:hanging="360"/>
      </w:pPr>
      <w:rPr>
        <w:rFonts w:ascii="Symbol" w:hAnsi="Symbol"/>
      </w:rPr>
    </w:lvl>
    <w:lvl w:ilvl="7" w:tplc="39606E20">
      <w:start w:val="1"/>
      <w:numFmt w:val="bullet"/>
      <w:lvlText w:val=""/>
      <w:lvlJc w:val="left"/>
      <w:pPr>
        <w:ind w:left="720" w:hanging="360"/>
      </w:pPr>
      <w:rPr>
        <w:rFonts w:ascii="Symbol" w:hAnsi="Symbol"/>
      </w:rPr>
    </w:lvl>
    <w:lvl w:ilvl="8" w:tplc="3588EBD2">
      <w:start w:val="1"/>
      <w:numFmt w:val="bullet"/>
      <w:lvlText w:val=""/>
      <w:lvlJc w:val="left"/>
      <w:pPr>
        <w:ind w:left="720" w:hanging="360"/>
      </w:pPr>
      <w:rPr>
        <w:rFonts w:ascii="Symbol" w:hAnsi="Symbol"/>
      </w:rPr>
    </w:lvl>
  </w:abstractNum>
  <w:abstractNum w:abstractNumId="26" w15:restartNumberingAfterBreak="0">
    <w:nsid w:val="47990C34"/>
    <w:multiLevelType w:val="hybridMultilevel"/>
    <w:tmpl w:val="91BE9A68"/>
    <w:lvl w:ilvl="0" w:tplc="FAF2D0B0">
      <w:start w:val="1"/>
      <w:numFmt w:val="bullet"/>
      <w:lvlText w:val=""/>
      <w:lvlJc w:val="left"/>
      <w:pPr>
        <w:ind w:left="720" w:hanging="360"/>
      </w:pPr>
      <w:rPr>
        <w:rFonts w:ascii="Symbol" w:hAnsi="Symbol"/>
      </w:rPr>
    </w:lvl>
    <w:lvl w:ilvl="1" w:tplc="990601BC">
      <w:start w:val="1"/>
      <w:numFmt w:val="bullet"/>
      <w:lvlText w:val=""/>
      <w:lvlJc w:val="left"/>
      <w:pPr>
        <w:ind w:left="720" w:hanging="360"/>
      </w:pPr>
      <w:rPr>
        <w:rFonts w:ascii="Symbol" w:hAnsi="Symbol"/>
      </w:rPr>
    </w:lvl>
    <w:lvl w:ilvl="2" w:tplc="EDB87366">
      <w:start w:val="1"/>
      <w:numFmt w:val="bullet"/>
      <w:lvlText w:val=""/>
      <w:lvlJc w:val="left"/>
      <w:pPr>
        <w:ind w:left="720" w:hanging="360"/>
      </w:pPr>
      <w:rPr>
        <w:rFonts w:ascii="Symbol" w:hAnsi="Symbol"/>
      </w:rPr>
    </w:lvl>
    <w:lvl w:ilvl="3" w:tplc="7922A796">
      <w:start w:val="1"/>
      <w:numFmt w:val="bullet"/>
      <w:lvlText w:val=""/>
      <w:lvlJc w:val="left"/>
      <w:pPr>
        <w:ind w:left="720" w:hanging="360"/>
      </w:pPr>
      <w:rPr>
        <w:rFonts w:ascii="Symbol" w:hAnsi="Symbol"/>
      </w:rPr>
    </w:lvl>
    <w:lvl w:ilvl="4" w:tplc="CDF6CC60">
      <w:start w:val="1"/>
      <w:numFmt w:val="bullet"/>
      <w:lvlText w:val=""/>
      <w:lvlJc w:val="left"/>
      <w:pPr>
        <w:ind w:left="720" w:hanging="360"/>
      </w:pPr>
      <w:rPr>
        <w:rFonts w:ascii="Symbol" w:hAnsi="Symbol"/>
      </w:rPr>
    </w:lvl>
    <w:lvl w:ilvl="5" w:tplc="1AFECF7A">
      <w:start w:val="1"/>
      <w:numFmt w:val="bullet"/>
      <w:lvlText w:val=""/>
      <w:lvlJc w:val="left"/>
      <w:pPr>
        <w:ind w:left="720" w:hanging="360"/>
      </w:pPr>
      <w:rPr>
        <w:rFonts w:ascii="Symbol" w:hAnsi="Symbol"/>
      </w:rPr>
    </w:lvl>
    <w:lvl w:ilvl="6" w:tplc="3B385F5A">
      <w:start w:val="1"/>
      <w:numFmt w:val="bullet"/>
      <w:lvlText w:val=""/>
      <w:lvlJc w:val="left"/>
      <w:pPr>
        <w:ind w:left="720" w:hanging="360"/>
      </w:pPr>
      <w:rPr>
        <w:rFonts w:ascii="Symbol" w:hAnsi="Symbol"/>
      </w:rPr>
    </w:lvl>
    <w:lvl w:ilvl="7" w:tplc="8842C262">
      <w:start w:val="1"/>
      <w:numFmt w:val="bullet"/>
      <w:lvlText w:val=""/>
      <w:lvlJc w:val="left"/>
      <w:pPr>
        <w:ind w:left="720" w:hanging="360"/>
      </w:pPr>
      <w:rPr>
        <w:rFonts w:ascii="Symbol" w:hAnsi="Symbol"/>
      </w:rPr>
    </w:lvl>
    <w:lvl w:ilvl="8" w:tplc="D5826C1A">
      <w:start w:val="1"/>
      <w:numFmt w:val="bullet"/>
      <w:lvlText w:val=""/>
      <w:lvlJc w:val="left"/>
      <w:pPr>
        <w:ind w:left="720" w:hanging="360"/>
      </w:pPr>
      <w:rPr>
        <w:rFonts w:ascii="Symbol" w:hAnsi="Symbol"/>
      </w:rPr>
    </w:lvl>
  </w:abstractNum>
  <w:abstractNum w:abstractNumId="27" w15:restartNumberingAfterBreak="0">
    <w:nsid w:val="49E77128"/>
    <w:multiLevelType w:val="hybridMultilevel"/>
    <w:tmpl w:val="C8EEF2E2"/>
    <w:lvl w:ilvl="0" w:tplc="7B28421E">
      <w:start w:val="1"/>
      <w:numFmt w:val="bullet"/>
      <w:lvlText w:val=""/>
      <w:lvlJc w:val="left"/>
      <w:pPr>
        <w:ind w:left="1080" w:hanging="360"/>
      </w:pPr>
      <w:rPr>
        <w:rFonts w:ascii="Symbol" w:hAnsi="Symbol"/>
      </w:rPr>
    </w:lvl>
    <w:lvl w:ilvl="1" w:tplc="FF12083E">
      <w:start w:val="1"/>
      <w:numFmt w:val="bullet"/>
      <w:lvlText w:val=""/>
      <w:lvlJc w:val="left"/>
      <w:pPr>
        <w:ind w:left="1080" w:hanging="360"/>
      </w:pPr>
      <w:rPr>
        <w:rFonts w:ascii="Symbol" w:hAnsi="Symbol"/>
      </w:rPr>
    </w:lvl>
    <w:lvl w:ilvl="2" w:tplc="9F005846">
      <w:start w:val="1"/>
      <w:numFmt w:val="bullet"/>
      <w:lvlText w:val=""/>
      <w:lvlJc w:val="left"/>
      <w:pPr>
        <w:ind w:left="1080" w:hanging="360"/>
      </w:pPr>
      <w:rPr>
        <w:rFonts w:ascii="Symbol" w:hAnsi="Symbol"/>
      </w:rPr>
    </w:lvl>
    <w:lvl w:ilvl="3" w:tplc="E87A165A">
      <w:start w:val="1"/>
      <w:numFmt w:val="bullet"/>
      <w:lvlText w:val=""/>
      <w:lvlJc w:val="left"/>
      <w:pPr>
        <w:ind w:left="1080" w:hanging="360"/>
      </w:pPr>
      <w:rPr>
        <w:rFonts w:ascii="Symbol" w:hAnsi="Symbol"/>
      </w:rPr>
    </w:lvl>
    <w:lvl w:ilvl="4" w:tplc="C9C04F06">
      <w:start w:val="1"/>
      <w:numFmt w:val="bullet"/>
      <w:lvlText w:val=""/>
      <w:lvlJc w:val="left"/>
      <w:pPr>
        <w:ind w:left="1080" w:hanging="360"/>
      </w:pPr>
      <w:rPr>
        <w:rFonts w:ascii="Symbol" w:hAnsi="Symbol"/>
      </w:rPr>
    </w:lvl>
    <w:lvl w:ilvl="5" w:tplc="F79246EE">
      <w:start w:val="1"/>
      <w:numFmt w:val="bullet"/>
      <w:lvlText w:val=""/>
      <w:lvlJc w:val="left"/>
      <w:pPr>
        <w:ind w:left="1080" w:hanging="360"/>
      </w:pPr>
      <w:rPr>
        <w:rFonts w:ascii="Symbol" w:hAnsi="Symbol"/>
      </w:rPr>
    </w:lvl>
    <w:lvl w:ilvl="6" w:tplc="63DEC67C">
      <w:start w:val="1"/>
      <w:numFmt w:val="bullet"/>
      <w:lvlText w:val=""/>
      <w:lvlJc w:val="left"/>
      <w:pPr>
        <w:ind w:left="1080" w:hanging="360"/>
      </w:pPr>
      <w:rPr>
        <w:rFonts w:ascii="Symbol" w:hAnsi="Symbol"/>
      </w:rPr>
    </w:lvl>
    <w:lvl w:ilvl="7" w:tplc="FF866194">
      <w:start w:val="1"/>
      <w:numFmt w:val="bullet"/>
      <w:lvlText w:val=""/>
      <w:lvlJc w:val="left"/>
      <w:pPr>
        <w:ind w:left="1080" w:hanging="360"/>
      </w:pPr>
      <w:rPr>
        <w:rFonts w:ascii="Symbol" w:hAnsi="Symbol"/>
      </w:rPr>
    </w:lvl>
    <w:lvl w:ilvl="8" w:tplc="ECF894E2">
      <w:start w:val="1"/>
      <w:numFmt w:val="bullet"/>
      <w:lvlText w:val=""/>
      <w:lvlJc w:val="left"/>
      <w:pPr>
        <w:ind w:left="1080" w:hanging="360"/>
      </w:pPr>
      <w:rPr>
        <w:rFonts w:ascii="Symbol" w:hAnsi="Symbol"/>
      </w:rPr>
    </w:lvl>
  </w:abstractNum>
  <w:abstractNum w:abstractNumId="28" w15:restartNumberingAfterBreak="0">
    <w:nsid w:val="4A351C53"/>
    <w:multiLevelType w:val="hybridMultilevel"/>
    <w:tmpl w:val="8920F1C0"/>
    <w:lvl w:ilvl="0" w:tplc="18001B16">
      <w:start w:val="1"/>
      <w:numFmt w:val="bullet"/>
      <w:lvlText w:val=""/>
      <w:lvlJc w:val="left"/>
      <w:pPr>
        <w:ind w:left="720" w:hanging="360"/>
      </w:pPr>
      <w:rPr>
        <w:rFonts w:ascii="Symbol" w:hAnsi="Symbol"/>
      </w:rPr>
    </w:lvl>
    <w:lvl w:ilvl="1" w:tplc="A2B0E2D2">
      <w:start w:val="1"/>
      <w:numFmt w:val="bullet"/>
      <w:lvlText w:val=""/>
      <w:lvlJc w:val="left"/>
      <w:pPr>
        <w:ind w:left="720" w:hanging="360"/>
      </w:pPr>
      <w:rPr>
        <w:rFonts w:ascii="Symbol" w:hAnsi="Symbol"/>
      </w:rPr>
    </w:lvl>
    <w:lvl w:ilvl="2" w:tplc="30C68714">
      <w:start w:val="1"/>
      <w:numFmt w:val="bullet"/>
      <w:lvlText w:val=""/>
      <w:lvlJc w:val="left"/>
      <w:pPr>
        <w:ind w:left="720" w:hanging="360"/>
      </w:pPr>
      <w:rPr>
        <w:rFonts w:ascii="Symbol" w:hAnsi="Symbol"/>
      </w:rPr>
    </w:lvl>
    <w:lvl w:ilvl="3" w:tplc="7B840ECA">
      <w:start w:val="1"/>
      <w:numFmt w:val="bullet"/>
      <w:lvlText w:val=""/>
      <w:lvlJc w:val="left"/>
      <w:pPr>
        <w:ind w:left="720" w:hanging="360"/>
      </w:pPr>
      <w:rPr>
        <w:rFonts w:ascii="Symbol" w:hAnsi="Symbol"/>
      </w:rPr>
    </w:lvl>
    <w:lvl w:ilvl="4" w:tplc="E0662324">
      <w:start w:val="1"/>
      <w:numFmt w:val="bullet"/>
      <w:lvlText w:val=""/>
      <w:lvlJc w:val="left"/>
      <w:pPr>
        <w:ind w:left="720" w:hanging="360"/>
      </w:pPr>
      <w:rPr>
        <w:rFonts w:ascii="Symbol" w:hAnsi="Symbol"/>
      </w:rPr>
    </w:lvl>
    <w:lvl w:ilvl="5" w:tplc="8654BA30">
      <w:start w:val="1"/>
      <w:numFmt w:val="bullet"/>
      <w:lvlText w:val=""/>
      <w:lvlJc w:val="left"/>
      <w:pPr>
        <w:ind w:left="720" w:hanging="360"/>
      </w:pPr>
      <w:rPr>
        <w:rFonts w:ascii="Symbol" w:hAnsi="Symbol"/>
      </w:rPr>
    </w:lvl>
    <w:lvl w:ilvl="6" w:tplc="7930CB30">
      <w:start w:val="1"/>
      <w:numFmt w:val="bullet"/>
      <w:lvlText w:val=""/>
      <w:lvlJc w:val="left"/>
      <w:pPr>
        <w:ind w:left="720" w:hanging="360"/>
      </w:pPr>
      <w:rPr>
        <w:rFonts w:ascii="Symbol" w:hAnsi="Symbol"/>
      </w:rPr>
    </w:lvl>
    <w:lvl w:ilvl="7" w:tplc="8D0C8148">
      <w:start w:val="1"/>
      <w:numFmt w:val="bullet"/>
      <w:lvlText w:val=""/>
      <w:lvlJc w:val="left"/>
      <w:pPr>
        <w:ind w:left="720" w:hanging="360"/>
      </w:pPr>
      <w:rPr>
        <w:rFonts w:ascii="Symbol" w:hAnsi="Symbol"/>
      </w:rPr>
    </w:lvl>
    <w:lvl w:ilvl="8" w:tplc="3DBCCC66">
      <w:start w:val="1"/>
      <w:numFmt w:val="bullet"/>
      <w:lvlText w:val=""/>
      <w:lvlJc w:val="left"/>
      <w:pPr>
        <w:ind w:left="720" w:hanging="360"/>
      </w:pPr>
      <w:rPr>
        <w:rFonts w:ascii="Symbol" w:hAnsi="Symbol"/>
      </w:rPr>
    </w:lvl>
  </w:abstractNum>
  <w:abstractNum w:abstractNumId="29" w15:restartNumberingAfterBreak="0">
    <w:nsid w:val="4A962687"/>
    <w:multiLevelType w:val="hybridMultilevel"/>
    <w:tmpl w:val="6CFA5372"/>
    <w:lvl w:ilvl="0" w:tplc="99389C74">
      <w:start w:val="1"/>
      <w:numFmt w:val="bullet"/>
      <w:lvlText w:val=""/>
      <w:lvlJc w:val="left"/>
      <w:pPr>
        <w:ind w:left="720" w:hanging="360"/>
      </w:pPr>
      <w:rPr>
        <w:rFonts w:ascii="Symbol" w:hAnsi="Symbol"/>
      </w:rPr>
    </w:lvl>
    <w:lvl w:ilvl="1" w:tplc="AA421F9C">
      <w:start w:val="1"/>
      <w:numFmt w:val="bullet"/>
      <w:lvlText w:val=""/>
      <w:lvlJc w:val="left"/>
      <w:pPr>
        <w:ind w:left="720" w:hanging="360"/>
      </w:pPr>
      <w:rPr>
        <w:rFonts w:ascii="Symbol" w:hAnsi="Symbol"/>
      </w:rPr>
    </w:lvl>
    <w:lvl w:ilvl="2" w:tplc="03BA42F6">
      <w:start w:val="1"/>
      <w:numFmt w:val="bullet"/>
      <w:lvlText w:val=""/>
      <w:lvlJc w:val="left"/>
      <w:pPr>
        <w:ind w:left="720" w:hanging="360"/>
      </w:pPr>
      <w:rPr>
        <w:rFonts w:ascii="Symbol" w:hAnsi="Symbol"/>
      </w:rPr>
    </w:lvl>
    <w:lvl w:ilvl="3" w:tplc="4846209A">
      <w:start w:val="1"/>
      <w:numFmt w:val="bullet"/>
      <w:lvlText w:val=""/>
      <w:lvlJc w:val="left"/>
      <w:pPr>
        <w:ind w:left="720" w:hanging="360"/>
      </w:pPr>
      <w:rPr>
        <w:rFonts w:ascii="Symbol" w:hAnsi="Symbol"/>
      </w:rPr>
    </w:lvl>
    <w:lvl w:ilvl="4" w:tplc="16B693CC">
      <w:start w:val="1"/>
      <w:numFmt w:val="bullet"/>
      <w:lvlText w:val=""/>
      <w:lvlJc w:val="left"/>
      <w:pPr>
        <w:ind w:left="720" w:hanging="360"/>
      </w:pPr>
      <w:rPr>
        <w:rFonts w:ascii="Symbol" w:hAnsi="Symbol"/>
      </w:rPr>
    </w:lvl>
    <w:lvl w:ilvl="5" w:tplc="9A6487A0">
      <w:start w:val="1"/>
      <w:numFmt w:val="bullet"/>
      <w:lvlText w:val=""/>
      <w:lvlJc w:val="left"/>
      <w:pPr>
        <w:ind w:left="720" w:hanging="360"/>
      </w:pPr>
      <w:rPr>
        <w:rFonts w:ascii="Symbol" w:hAnsi="Symbol"/>
      </w:rPr>
    </w:lvl>
    <w:lvl w:ilvl="6" w:tplc="8DD010FE">
      <w:start w:val="1"/>
      <w:numFmt w:val="bullet"/>
      <w:lvlText w:val=""/>
      <w:lvlJc w:val="left"/>
      <w:pPr>
        <w:ind w:left="720" w:hanging="360"/>
      </w:pPr>
      <w:rPr>
        <w:rFonts w:ascii="Symbol" w:hAnsi="Symbol"/>
      </w:rPr>
    </w:lvl>
    <w:lvl w:ilvl="7" w:tplc="5602FAD8">
      <w:start w:val="1"/>
      <w:numFmt w:val="bullet"/>
      <w:lvlText w:val=""/>
      <w:lvlJc w:val="left"/>
      <w:pPr>
        <w:ind w:left="720" w:hanging="360"/>
      </w:pPr>
      <w:rPr>
        <w:rFonts w:ascii="Symbol" w:hAnsi="Symbol"/>
      </w:rPr>
    </w:lvl>
    <w:lvl w:ilvl="8" w:tplc="C2B086E6">
      <w:start w:val="1"/>
      <w:numFmt w:val="bullet"/>
      <w:lvlText w:val=""/>
      <w:lvlJc w:val="left"/>
      <w:pPr>
        <w:ind w:left="720" w:hanging="360"/>
      </w:pPr>
      <w:rPr>
        <w:rFonts w:ascii="Symbol" w:hAnsi="Symbol"/>
      </w:rPr>
    </w:lvl>
  </w:abstractNum>
  <w:abstractNum w:abstractNumId="30" w15:restartNumberingAfterBreak="0">
    <w:nsid w:val="4AA67EA1"/>
    <w:multiLevelType w:val="hybridMultilevel"/>
    <w:tmpl w:val="64BCFA82"/>
    <w:lvl w:ilvl="0" w:tplc="E45AE316">
      <w:start w:val="1"/>
      <w:numFmt w:val="decimal"/>
      <w:lvlText w:val="%1."/>
      <w:lvlJc w:val="left"/>
      <w:pPr>
        <w:ind w:left="1320" w:hanging="360"/>
      </w:pPr>
    </w:lvl>
    <w:lvl w:ilvl="1" w:tplc="47D66BC2">
      <w:start w:val="1"/>
      <w:numFmt w:val="decimal"/>
      <w:lvlText w:val="%2."/>
      <w:lvlJc w:val="left"/>
      <w:pPr>
        <w:ind w:left="1320" w:hanging="360"/>
      </w:pPr>
    </w:lvl>
    <w:lvl w:ilvl="2" w:tplc="8BC6C53A">
      <w:start w:val="1"/>
      <w:numFmt w:val="decimal"/>
      <w:lvlText w:val="%3."/>
      <w:lvlJc w:val="left"/>
      <w:pPr>
        <w:ind w:left="1320" w:hanging="360"/>
      </w:pPr>
    </w:lvl>
    <w:lvl w:ilvl="3" w:tplc="F2729348">
      <w:start w:val="1"/>
      <w:numFmt w:val="decimal"/>
      <w:lvlText w:val="%4."/>
      <w:lvlJc w:val="left"/>
      <w:pPr>
        <w:ind w:left="1320" w:hanging="360"/>
      </w:pPr>
    </w:lvl>
    <w:lvl w:ilvl="4" w:tplc="A69C218C">
      <w:start w:val="1"/>
      <w:numFmt w:val="decimal"/>
      <w:lvlText w:val="%5."/>
      <w:lvlJc w:val="left"/>
      <w:pPr>
        <w:ind w:left="1320" w:hanging="360"/>
      </w:pPr>
    </w:lvl>
    <w:lvl w:ilvl="5" w:tplc="5FCC9F88">
      <w:start w:val="1"/>
      <w:numFmt w:val="decimal"/>
      <w:lvlText w:val="%6."/>
      <w:lvlJc w:val="left"/>
      <w:pPr>
        <w:ind w:left="1320" w:hanging="360"/>
      </w:pPr>
    </w:lvl>
    <w:lvl w:ilvl="6" w:tplc="9B163A02">
      <w:start w:val="1"/>
      <w:numFmt w:val="decimal"/>
      <w:lvlText w:val="%7."/>
      <w:lvlJc w:val="left"/>
      <w:pPr>
        <w:ind w:left="1320" w:hanging="360"/>
      </w:pPr>
    </w:lvl>
    <w:lvl w:ilvl="7" w:tplc="EEFE47E0">
      <w:start w:val="1"/>
      <w:numFmt w:val="decimal"/>
      <w:lvlText w:val="%8."/>
      <w:lvlJc w:val="left"/>
      <w:pPr>
        <w:ind w:left="1320" w:hanging="360"/>
      </w:pPr>
    </w:lvl>
    <w:lvl w:ilvl="8" w:tplc="B9D0CEB4">
      <w:start w:val="1"/>
      <w:numFmt w:val="decimal"/>
      <w:lvlText w:val="%9."/>
      <w:lvlJc w:val="left"/>
      <w:pPr>
        <w:ind w:left="1320" w:hanging="360"/>
      </w:pPr>
    </w:lvl>
  </w:abstractNum>
  <w:abstractNum w:abstractNumId="31" w15:restartNumberingAfterBreak="0">
    <w:nsid w:val="4CB75828"/>
    <w:multiLevelType w:val="hybridMultilevel"/>
    <w:tmpl w:val="89E48174"/>
    <w:lvl w:ilvl="0" w:tplc="A0B490B2">
      <w:start w:val="1"/>
      <w:numFmt w:val="bullet"/>
      <w:lvlText w:val=""/>
      <w:lvlJc w:val="left"/>
      <w:pPr>
        <w:ind w:left="720" w:hanging="360"/>
      </w:pPr>
      <w:rPr>
        <w:rFonts w:ascii="Symbol" w:hAnsi="Symbol"/>
      </w:rPr>
    </w:lvl>
    <w:lvl w:ilvl="1" w:tplc="97309E5A">
      <w:start w:val="1"/>
      <w:numFmt w:val="bullet"/>
      <w:lvlText w:val=""/>
      <w:lvlJc w:val="left"/>
      <w:pPr>
        <w:ind w:left="720" w:hanging="360"/>
      </w:pPr>
      <w:rPr>
        <w:rFonts w:ascii="Symbol" w:hAnsi="Symbol"/>
      </w:rPr>
    </w:lvl>
    <w:lvl w:ilvl="2" w:tplc="770CA4B0">
      <w:start w:val="1"/>
      <w:numFmt w:val="bullet"/>
      <w:lvlText w:val=""/>
      <w:lvlJc w:val="left"/>
      <w:pPr>
        <w:ind w:left="720" w:hanging="360"/>
      </w:pPr>
      <w:rPr>
        <w:rFonts w:ascii="Symbol" w:hAnsi="Symbol"/>
      </w:rPr>
    </w:lvl>
    <w:lvl w:ilvl="3" w:tplc="8A8E0872">
      <w:start w:val="1"/>
      <w:numFmt w:val="bullet"/>
      <w:lvlText w:val=""/>
      <w:lvlJc w:val="left"/>
      <w:pPr>
        <w:ind w:left="720" w:hanging="360"/>
      </w:pPr>
      <w:rPr>
        <w:rFonts w:ascii="Symbol" w:hAnsi="Symbol"/>
      </w:rPr>
    </w:lvl>
    <w:lvl w:ilvl="4" w:tplc="54E4441E">
      <w:start w:val="1"/>
      <w:numFmt w:val="bullet"/>
      <w:lvlText w:val=""/>
      <w:lvlJc w:val="left"/>
      <w:pPr>
        <w:ind w:left="720" w:hanging="360"/>
      </w:pPr>
      <w:rPr>
        <w:rFonts w:ascii="Symbol" w:hAnsi="Symbol"/>
      </w:rPr>
    </w:lvl>
    <w:lvl w:ilvl="5" w:tplc="AD9E32D0">
      <w:start w:val="1"/>
      <w:numFmt w:val="bullet"/>
      <w:lvlText w:val=""/>
      <w:lvlJc w:val="left"/>
      <w:pPr>
        <w:ind w:left="720" w:hanging="360"/>
      </w:pPr>
      <w:rPr>
        <w:rFonts w:ascii="Symbol" w:hAnsi="Symbol"/>
      </w:rPr>
    </w:lvl>
    <w:lvl w:ilvl="6" w:tplc="E49AAEF6">
      <w:start w:val="1"/>
      <w:numFmt w:val="bullet"/>
      <w:lvlText w:val=""/>
      <w:lvlJc w:val="left"/>
      <w:pPr>
        <w:ind w:left="720" w:hanging="360"/>
      </w:pPr>
      <w:rPr>
        <w:rFonts w:ascii="Symbol" w:hAnsi="Symbol"/>
      </w:rPr>
    </w:lvl>
    <w:lvl w:ilvl="7" w:tplc="95F8C6A0">
      <w:start w:val="1"/>
      <w:numFmt w:val="bullet"/>
      <w:lvlText w:val=""/>
      <w:lvlJc w:val="left"/>
      <w:pPr>
        <w:ind w:left="720" w:hanging="360"/>
      </w:pPr>
      <w:rPr>
        <w:rFonts w:ascii="Symbol" w:hAnsi="Symbol"/>
      </w:rPr>
    </w:lvl>
    <w:lvl w:ilvl="8" w:tplc="72FA8328">
      <w:start w:val="1"/>
      <w:numFmt w:val="bullet"/>
      <w:lvlText w:val=""/>
      <w:lvlJc w:val="left"/>
      <w:pPr>
        <w:ind w:left="720" w:hanging="360"/>
      </w:pPr>
      <w:rPr>
        <w:rFonts w:ascii="Symbol" w:hAnsi="Symbol"/>
      </w:rPr>
    </w:lvl>
  </w:abstractNum>
  <w:abstractNum w:abstractNumId="32" w15:restartNumberingAfterBreak="0">
    <w:nsid w:val="4DF443E9"/>
    <w:multiLevelType w:val="hybridMultilevel"/>
    <w:tmpl w:val="F28C91AC"/>
    <w:lvl w:ilvl="0" w:tplc="FAF2B820">
      <w:start w:val="1"/>
      <w:numFmt w:val="bullet"/>
      <w:lvlText w:val=""/>
      <w:lvlJc w:val="left"/>
      <w:pPr>
        <w:ind w:left="1080" w:hanging="360"/>
      </w:pPr>
      <w:rPr>
        <w:rFonts w:ascii="Symbol" w:hAnsi="Symbol"/>
      </w:rPr>
    </w:lvl>
    <w:lvl w:ilvl="1" w:tplc="59800974">
      <w:start w:val="1"/>
      <w:numFmt w:val="bullet"/>
      <w:lvlText w:val=""/>
      <w:lvlJc w:val="left"/>
      <w:pPr>
        <w:ind w:left="1080" w:hanging="360"/>
      </w:pPr>
      <w:rPr>
        <w:rFonts w:ascii="Symbol" w:hAnsi="Symbol"/>
      </w:rPr>
    </w:lvl>
    <w:lvl w:ilvl="2" w:tplc="101E93FA">
      <w:start w:val="1"/>
      <w:numFmt w:val="bullet"/>
      <w:lvlText w:val=""/>
      <w:lvlJc w:val="left"/>
      <w:pPr>
        <w:ind w:left="1080" w:hanging="360"/>
      </w:pPr>
      <w:rPr>
        <w:rFonts w:ascii="Symbol" w:hAnsi="Symbol"/>
      </w:rPr>
    </w:lvl>
    <w:lvl w:ilvl="3" w:tplc="54B2CA50">
      <w:start w:val="1"/>
      <w:numFmt w:val="bullet"/>
      <w:lvlText w:val=""/>
      <w:lvlJc w:val="left"/>
      <w:pPr>
        <w:ind w:left="1080" w:hanging="360"/>
      </w:pPr>
      <w:rPr>
        <w:rFonts w:ascii="Symbol" w:hAnsi="Symbol"/>
      </w:rPr>
    </w:lvl>
    <w:lvl w:ilvl="4" w:tplc="ED1864AC">
      <w:start w:val="1"/>
      <w:numFmt w:val="bullet"/>
      <w:lvlText w:val=""/>
      <w:lvlJc w:val="left"/>
      <w:pPr>
        <w:ind w:left="1080" w:hanging="360"/>
      </w:pPr>
      <w:rPr>
        <w:rFonts w:ascii="Symbol" w:hAnsi="Symbol"/>
      </w:rPr>
    </w:lvl>
    <w:lvl w:ilvl="5" w:tplc="752C9E60">
      <w:start w:val="1"/>
      <w:numFmt w:val="bullet"/>
      <w:lvlText w:val=""/>
      <w:lvlJc w:val="left"/>
      <w:pPr>
        <w:ind w:left="1080" w:hanging="360"/>
      </w:pPr>
      <w:rPr>
        <w:rFonts w:ascii="Symbol" w:hAnsi="Symbol"/>
      </w:rPr>
    </w:lvl>
    <w:lvl w:ilvl="6" w:tplc="71845A6E">
      <w:start w:val="1"/>
      <w:numFmt w:val="bullet"/>
      <w:lvlText w:val=""/>
      <w:lvlJc w:val="left"/>
      <w:pPr>
        <w:ind w:left="1080" w:hanging="360"/>
      </w:pPr>
      <w:rPr>
        <w:rFonts w:ascii="Symbol" w:hAnsi="Symbol"/>
      </w:rPr>
    </w:lvl>
    <w:lvl w:ilvl="7" w:tplc="C4B60C60">
      <w:start w:val="1"/>
      <w:numFmt w:val="bullet"/>
      <w:lvlText w:val=""/>
      <w:lvlJc w:val="left"/>
      <w:pPr>
        <w:ind w:left="1080" w:hanging="360"/>
      </w:pPr>
      <w:rPr>
        <w:rFonts w:ascii="Symbol" w:hAnsi="Symbol"/>
      </w:rPr>
    </w:lvl>
    <w:lvl w:ilvl="8" w:tplc="0848321E">
      <w:start w:val="1"/>
      <w:numFmt w:val="bullet"/>
      <w:lvlText w:val=""/>
      <w:lvlJc w:val="left"/>
      <w:pPr>
        <w:ind w:left="1080" w:hanging="360"/>
      </w:pPr>
      <w:rPr>
        <w:rFonts w:ascii="Symbol" w:hAnsi="Symbol"/>
      </w:rPr>
    </w:lvl>
  </w:abstractNum>
  <w:abstractNum w:abstractNumId="33" w15:restartNumberingAfterBreak="0">
    <w:nsid w:val="57A81C49"/>
    <w:multiLevelType w:val="hybridMultilevel"/>
    <w:tmpl w:val="8EBC3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84E6AE4"/>
    <w:multiLevelType w:val="hybridMultilevel"/>
    <w:tmpl w:val="DAA6B6AE"/>
    <w:lvl w:ilvl="0" w:tplc="A9CC626C">
      <w:start w:val="1"/>
      <w:numFmt w:val="bullet"/>
      <w:lvlText w:val=""/>
      <w:lvlJc w:val="left"/>
      <w:pPr>
        <w:ind w:left="720" w:hanging="360"/>
      </w:pPr>
      <w:rPr>
        <w:rFonts w:ascii="Symbol" w:hAnsi="Symbol"/>
      </w:rPr>
    </w:lvl>
    <w:lvl w:ilvl="1" w:tplc="34B44F92">
      <w:start w:val="1"/>
      <w:numFmt w:val="bullet"/>
      <w:lvlText w:val=""/>
      <w:lvlJc w:val="left"/>
      <w:pPr>
        <w:ind w:left="720" w:hanging="360"/>
      </w:pPr>
      <w:rPr>
        <w:rFonts w:ascii="Symbol" w:hAnsi="Symbol"/>
      </w:rPr>
    </w:lvl>
    <w:lvl w:ilvl="2" w:tplc="2910A352">
      <w:start w:val="1"/>
      <w:numFmt w:val="bullet"/>
      <w:lvlText w:val=""/>
      <w:lvlJc w:val="left"/>
      <w:pPr>
        <w:ind w:left="720" w:hanging="360"/>
      </w:pPr>
      <w:rPr>
        <w:rFonts w:ascii="Symbol" w:hAnsi="Symbol"/>
      </w:rPr>
    </w:lvl>
    <w:lvl w:ilvl="3" w:tplc="0348295E">
      <w:start w:val="1"/>
      <w:numFmt w:val="bullet"/>
      <w:lvlText w:val=""/>
      <w:lvlJc w:val="left"/>
      <w:pPr>
        <w:ind w:left="720" w:hanging="360"/>
      </w:pPr>
      <w:rPr>
        <w:rFonts w:ascii="Symbol" w:hAnsi="Symbol"/>
      </w:rPr>
    </w:lvl>
    <w:lvl w:ilvl="4" w:tplc="3E8AAA0A">
      <w:start w:val="1"/>
      <w:numFmt w:val="bullet"/>
      <w:lvlText w:val=""/>
      <w:lvlJc w:val="left"/>
      <w:pPr>
        <w:ind w:left="720" w:hanging="360"/>
      </w:pPr>
      <w:rPr>
        <w:rFonts w:ascii="Symbol" w:hAnsi="Symbol"/>
      </w:rPr>
    </w:lvl>
    <w:lvl w:ilvl="5" w:tplc="B5702FAE">
      <w:start w:val="1"/>
      <w:numFmt w:val="bullet"/>
      <w:lvlText w:val=""/>
      <w:lvlJc w:val="left"/>
      <w:pPr>
        <w:ind w:left="720" w:hanging="360"/>
      </w:pPr>
      <w:rPr>
        <w:rFonts w:ascii="Symbol" w:hAnsi="Symbol"/>
      </w:rPr>
    </w:lvl>
    <w:lvl w:ilvl="6" w:tplc="8278C5CC">
      <w:start w:val="1"/>
      <w:numFmt w:val="bullet"/>
      <w:lvlText w:val=""/>
      <w:lvlJc w:val="left"/>
      <w:pPr>
        <w:ind w:left="720" w:hanging="360"/>
      </w:pPr>
      <w:rPr>
        <w:rFonts w:ascii="Symbol" w:hAnsi="Symbol"/>
      </w:rPr>
    </w:lvl>
    <w:lvl w:ilvl="7" w:tplc="ABAA06CA">
      <w:start w:val="1"/>
      <w:numFmt w:val="bullet"/>
      <w:lvlText w:val=""/>
      <w:lvlJc w:val="left"/>
      <w:pPr>
        <w:ind w:left="720" w:hanging="360"/>
      </w:pPr>
      <w:rPr>
        <w:rFonts w:ascii="Symbol" w:hAnsi="Symbol"/>
      </w:rPr>
    </w:lvl>
    <w:lvl w:ilvl="8" w:tplc="B8D44596">
      <w:start w:val="1"/>
      <w:numFmt w:val="bullet"/>
      <w:lvlText w:val=""/>
      <w:lvlJc w:val="left"/>
      <w:pPr>
        <w:ind w:left="720" w:hanging="360"/>
      </w:pPr>
      <w:rPr>
        <w:rFonts w:ascii="Symbol" w:hAnsi="Symbol"/>
      </w:rPr>
    </w:lvl>
  </w:abstractNum>
  <w:abstractNum w:abstractNumId="35" w15:restartNumberingAfterBreak="0">
    <w:nsid w:val="5AE123D5"/>
    <w:multiLevelType w:val="hybridMultilevel"/>
    <w:tmpl w:val="9BFED916"/>
    <w:lvl w:ilvl="0" w:tplc="B866C81C">
      <w:start w:val="1"/>
      <w:numFmt w:val="decimal"/>
      <w:lvlText w:val="%1."/>
      <w:lvlJc w:val="left"/>
      <w:pPr>
        <w:ind w:left="1320" w:hanging="360"/>
      </w:pPr>
    </w:lvl>
    <w:lvl w:ilvl="1" w:tplc="90C8E114">
      <w:start w:val="1"/>
      <w:numFmt w:val="decimal"/>
      <w:lvlText w:val="%2."/>
      <w:lvlJc w:val="left"/>
      <w:pPr>
        <w:ind w:left="1320" w:hanging="360"/>
      </w:pPr>
    </w:lvl>
    <w:lvl w:ilvl="2" w:tplc="48FC5C34">
      <w:start w:val="1"/>
      <w:numFmt w:val="decimal"/>
      <w:lvlText w:val="%3."/>
      <w:lvlJc w:val="left"/>
      <w:pPr>
        <w:ind w:left="1320" w:hanging="360"/>
      </w:pPr>
    </w:lvl>
    <w:lvl w:ilvl="3" w:tplc="97FE5F90">
      <w:start w:val="1"/>
      <w:numFmt w:val="decimal"/>
      <w:lvlText w:val="%4."/>
      <w:lvlJc w:val="left"/>
      <w:pPr>
        <w:ind w:left="1320" w:hanging="360"/>
      </w:pPr>
    </w:lvl>
    <w:lvl w:ilvl="4" w:tplc="70C003B4">
      <w:start w:val="1"/>
      <w:numFmt w:val="decimal"/>
      <w:lvlText w:val="%5."/>
      <w:lvlJc w:val="left"/>
      <w:pPr>
        <w:ind w:left="1320" w:hanging="360"/>
      </w:pPr>
    </w:lvl>
    <w:lvl w:ilvl="5" w:tplc="868660BC">
      <w:start w:val="1"/>
      <w:numFmt w:val="decimal"/>
      <w:lvlText w:val="%6."/>
      <w:lvlJc w:val="left"/>
      <w:pPr>
        <w:ind w:left="1320" w:hanging="360"/>
      </w:pPr>
    </w:lvl>
    <w:lvl w:ilvl="6" w:tplc="73A0573E">
      <w:start w:val="1"/>
      <w:numFmt w:val="decimal"/>
      <w:lvlText w:val="%7."/>
      <w:lvlJc w:val="left"/>
      <w:pPr>
        <w:ind w:left="1320" w:hanging="360"/>
      </w:pPr>
    </w:lvl>
    <w:lvl w:ilvl="7" w:tplc="64FEEF22">
      <w:start w:val="1"/>
      <w:numFmt w:val="decimal"/>
      <w:lvlText w:val="%8."/>
      <w:lvlJc w:val="left"/>
      <w:pPr>
        <w:ind w:left="1320" w:hanging="360"/>
      </w:pPr>
    </w:lvl>
    <w:lvl w:ilvl="8" w:tplc="9ED00876">
      <w:start w:val="1"/>
      <w:numFmt w:val="decimal"/>
      <w:lvlText w:val="%9."/>
      <w:lvlJc w:val="left"/>
      <w:pPr>
        <w:ind w:left="1320" w:hanging="360"/>
      </w:pPr>
    </w:lvl>
  </w:abstractNum>
  <w:abstractNum w:abstractNumId="36" w15:restartNumberingAfterBreak="0">
    <w:nsid w:val="5AEC50A1"/>
    <w:multiLevelType w:val="hybridMultilevel"/>
    <w:tmpl w:val="13B8F266"/>
    <w:lvl w:ilvl="0" w:tplc="EC9CCCB6">
      <w:start w:val="1"/>
      <w:numFmt w:val="decimal"/>
      <w:lvlText w:val="%1."/>
      <w:lvlJc w:val="left"/>
      <w:pPr>
        <w:ind w:left="1020" w:hanging="360"/>
      </w:pPr>
    </w:lvl>
    <w:lvl w:ilvl="1" w:tplc="F04060EA">
      <w:start w:val="1"/>
      <w:numFmt w:val="decimal"/>
      <w:lvlText w:val="%2."/>
      <w:lvlJc w:val="left"/>
      <w:pPr>
        <w:ind w:left="1020" w:hanging="360"/>
      </w:pPr>
    </w:lvl>
    <w:lvl w:ilvl="2" w:tplc="8F460B18">
      <w:start w:val="1"/>
      <w:numFmt w:val="decimal"/>
      <w:lvlText w:val="%3."/>
      <w:lvlJc w:val="left"/>
      <w:pPr>
        <w:ind w:left="1020" w:hanging="360"/>
      </w:pPr>
    </w:lvl>
    <w:lvl w:ilvl="3" w:tplc="00143CB2">
      <w:start w:val="1"/>
      <w:numFmt w:val="decimal"/>
      <w:lvlText w:val="%4."/>
      <w:lvlJc w:val="left"/>
      <w:pPr>
        <w:ind w:left="1020" w:hanging="360"/>
      </w:pPr>
    </w:lvl>
    <w:lvl w:ilvl="4" w:tplc="F182B19C">
      <w:start w:val="1"/>
      <w:numFmt w:val="decimal"/>
      <w:lvlText w:val="%5."/>
      <w:lvlJc w:val="left"/>
      <w:pPr>
        <w:ind w:left="1020" w:hanging="360"/>
      </w:pPr>
    </w:lvl>
    <w:lvl w:ilvl="5" w:tplc="4EC674F0">
      <w:start w:val="1"/>
      <w:numFmt w:val="decimal"/>
      <w:lvlText w:val="%6."/>
      <w:lvlJc w:val="left"/>
      <w:pPr>
        <w:ind w:left="1020" w:hanging="360"/>
      </w:pPr>
    </w:lvl>
    <w:lvl w:ilvl="6" w:tplc="787A62E4">
      <w:start w:val="1"/>
      <w:numFmt w:val="decimal"/>
      <w:lvlText w:val="%7."/>
      <w:lvlJc w:val="left"/>
      <w:pPr>
        <w:ind w:left="1020" w:hanging="360"/>
      </w:pPr>
    </w:lvl>
    <w:lvl w:ilvl="7" w:tplc="2522E586">
      <w:start w:val="1"/>
      <w:numFmt w:val="decimal"/>
      <w:lvlText w:val="%8."/>
      <w:lvlJc w:val="left"/>
      <w:pPr>
        <w:ind w:left="1020" w:hanging="360"/>
      </w:pPr>
    </w:lvl>
    <w:lvl w:ilvl="8" w:tplc="C31A3464">
      <w:start w:val="1"/>
      <w:numFmt w:val="decimal"/>
      <w:lvlText w:val="%9."/>
      <w:lvlJc w:val="left"/>
      <w:pPr>
        <w:ind w:left="1020" w:hanging="360"/>
      </w:pPr>
    </w:lvl>
  </w:abstractNum>
  <w:abstractNum w:abstractNumId="37" w15:restartNumberingAfterBreak="0">
    <w:nsid w:val="5C7A0F1E"/>
    <w:multiLevelType w:val="hybridMultilevel"/>
    <w:tmpl w:val="614632DC"/>
    <w:lvl w:ilvl="0" w:tplc="9F2CFF52">
      <w:start w:val="1"/>
      <w:numFmt w:val="decimal"/>
      <w:lvlText w:val="%1."/>
      <w:lvlJc w:val="left"/>
      <w:pPr>
        <w:ind w:left="1440" w:hanging="360"/>
      </w:pPr>
    </w:lvl>
    <w:lvl w:ilvl="1" w:tplc="A8A89FAA">
      <w:start w:val="1"/>
      <w:numFmt w:val="decimal"/>
      <w:lvlText w:val="%2."/>
      <w:lvlJc w:val="left"/>
      <w:pPr>
        <w:ind w:left="1440" w:hanging="360"/>
      </w:pPr>
    </w:lvl>
    <w:lvl w:ilvl="2" w:tplc="BAF00440">
      <w:start w:val="1"/>
      <w:numFmt w:val="decimal"/>
      <w:lvlText w:val="%3."/>
      <w:lvlJc w:val="left"/>
      <w:pPr>
        <w:ind w:left="1440" w:hanging="360"/>
      </w:pPr>
    </w:lvl>
    <w:lvl w:ilvl="3" w:tplc="4D24F310">
      <w:start w:val="1"/>
      <w:numFmt w:val="decimal"/>
      <w:lvlText w:val="%4."/>
      <w:lvlJc w:val="left"/>
      <w:pPr>
        <w:ind w:left="1440" w:hanging="360"/>
      </w:pPr>
    </w:lvl>
    <w:lvl w:ilvl="4" w:tplc="6F06D5E6">
      <w:start w:val="1"/>
      <w:numFmt w:val="decimal"/>
      <w:lvlText w:val="%5."/>
      <w:lvlJc w:val="left"/>
      <w:pPr>
        <w:ind w:left="1440" w:hanging="360"/>
      </w:pPr>
    </w:lvl>
    <w:lvl w:ilvl="5" w:tplc="85EC1CF2">
      <w:start w:val="1"/>
      <w:numFmt w:val="decimal"/>
      <w:lvlText w:val="%6."/>
      <w:lvlJc w:val="left"/>
      <w:pPr>
        <w:ind w:left="1440" w:hanging="360"/>
      </w:pPr>
    </w:lvl>
    <w:lvl w:ilvl="6" w:tplc="DA42D92A">
      <w:start w:val="1"/>
      <w:numFmt w:val="decimal"/>
      <w:lvlText w:val="%7."/>
      <w:lvlJc w:val="left"/>
      <w:pPr>
        <w:ind w:left="1440" w:hanging="360"/>
      </w:pPr>
    </w:lvl>
    <w:lvl w:ilvl="7" w:tplc="E300F5F8">
      <w:start w:val="1"/>
      <w:numFmt w:val="decimal"/>
      <w:lvlText w:val="%8."/>
      <w:lvlJc w:val="left"/>
      <w:pPr>
        <w:ind w:left="1440" w:hanging="360"/>
      </w:pPr>
    </w:lvl>
    <w:lvl w:ilvl="8" w:tplc="C93C9238">
      <w:start w:val="1"/>
      <w:numFmt w:val="decimal"/>
      <w:lvlText w:val="%9."/>
      <w:lvlJc w:val="left"/>
      <w:pPr>
        <w:ind w:left="1440" w:hanging="360"/>
      </w:pPr>
    </w:lvl>
  </w:abstractNum>
  <w:abstractNum w:abstractNumId="38" w15:restartNumberingAfterBreak="0">
    <w:nsid w:val="5FFE504B"/>
    <w:multiLevelType w:val="hybridMultilevel"/>
    <w:tmpl w:val="139A5F16"/>
    <w:lvl w:ilvl="0" w:tplc="58BCA292">
      <w:start w:val="1"/>
      <w:numFmt w:val="bullet"/>
      <w:lvlText w:val=""/>
      <w:lvlJc w:val="left"/>
      <w:pPr>
        <w:ind w:left="720" w:hanging="360"/>
      </w:pPr>
      <w:rPr>
        <w:rFonts w:ascii="Symbol" w:hAnsi="Symbol"/>
      </w:rPr>
    </w:lvl>
    <w:lvl w:ilvl="1" w:tplc="6C86EDC4">
      <w:start w:val="1"/>
      <w:numFmt w:val="bullet"/>
      <w:lvlText w:val=""/>
      <w:lvlJc w:val="left"/>
      <w:pPr>
        <w:ind w:left="720" w:hanging="360"/>
      </w:pPr>
      <w:rPr>
        <w:rFonts w:ascii="Symbol" w:hAnsi="Symbol"/>
      </w:rPr>
    </w:lvl>
    <w:lvl w:ilvl="2" w:tplc="237494D6">
      <w:start w:val="1"/>
      <w:numFmt w:val="bullet"/>
      <w:lvlText w:val=""/>
      <w:lvlJc w:val="left"/>
      <w:pPr>
        <w:ind w:left="720" w:hanging="360"/>
      </w:pPr>
      <w:rPr>
        <w:rFonts w:ascii="Symbol" w:hAnsi="Symbol"/>
      </w:rPr>
    </w:lvl>
    <w:lvl w:ilvl="3" w:tplc="752EC812">
      <w:start w:val="1"/>
      <w:numFmt w:val="bullet"/>
      <w:lvlText w:val=""/>
      <w:lvlJc w:val="left"/>
      <w:pPr>
        <w:ind w:left="720" w:hanging="360"/>
      </w:pPr>
      <w:rPr>
        <w:rFonts w:ascii="Symbol" w:hAnsi="Symbol"/>
      </w:rPr>
    </w:lvl>
    <w:lvl w:ilvl="4" w:tplc="E8A80102">
      <w:start w:val="1"/>
      <w:numFmt w:val="bullet"/>
      <w:lvlText w:val=""/>
      <w:lvlJc w:val="left"/>
      <w:pPr>
        <w:ind w:left="720" w:hanging="360"/>
      </w:pPr>
      <w:rPr>
        <w:rFonts w:ascii="Symbol" w:hAnsi="Symbol"/>
      </w:rPr>
    </w:lvl>
    <w:lvl w:ilvl="5" w:tplc="05A27DAE">
      <w:start w:val="1"/>
      <w:numFmt w:val="bullet"/>
      <w:lvlText w:val=""/>
      <w:lvlJc w:val="left"/>
      <w:pPr>
        <w:ind w:left="720" w:hanging="360"/>
      </w:pPr>
      <w:rPr>
        <w:rFonts w:ascii="Symbol" w:hAnsi="Symbol"/>
      </w:rPr>
    </w:lvl>
    <w:lvl w:ilvl="6" w:tplc="FB069B30">
      <w:start w:val="1"/>
      <w:numFmt w:val="bullet"/>
      <w:lvlText w:val=""/>
      <w:lvlJc w:val="left"/>
      <w:pPr>
        <w:ind w:left="720" w:hanging="360"/>
      </w:pPr>
      <w:rPr>
        <w:rFonts w:ascii="Symbol" w:hAnsi="Symbol"/>
      </w:rPr>
    </w:lvl>
    <w:lvl w:ilvl="7" w:tplc="25C08A1A">
      <w:start w:val="1"/>
      <w:numFmt w:val="bullet"/>
      <w:lvlText w:val=""/>
      <w:lvlJc w:val="left"/>
      <w:pPr>
        <w:ind w:left="720" w:hanging="360"/>
      </w:pPr>
      <w:rPr>
        <w:rFonts w:ascii="Symbol" w:hAnsi="Symbol"/>
      </w:rPr>
    </w:lvl>
    <w:lvl w:ilvl="8" w:tplc="704A5A90">
      <w:start w:val="1"/>
      <w:numFmt w:val="bullet"/>
      <w:lvlText w:val=""/>
      <w:lvlJc w:val="left"/>
      <w:pPr>
        <w:ind w:left="720" w:hanging="360"/>
      </w:pPr>
      <w:rPr>
        <w:rFonts w:ascii="Symbol" w:hAnsi="Symbol"/>
      </w:rPr>
    </w:lvl>
  </w:abstractNum>
  <w:abstractNum w:abstractNumId="39" w15:restartNumberingAfterBreak="0">
    <w:nsid w:val="61EC747E"/>
    <w:multiLevelType w:val="hybridMultilevel"/>
    <w:tmpl w:val="0D54D2DC"/>
    <w:lvl w:ilvl="0" w:tplc="50A42670">
      <w:start w:val="1"/>
      <w:numFmt w:val="lowerRoman"/>
      <w:lvlText w:val="(%1)"/>
      <w:lvlJc w:val="left"/>
      <w:pPr>
        <w:ind w:left="1064" w:hanging="720"/>
      </w:pPr>
      <w:rPr>
        <w:rFonts w:hint="default"/>
      </w:rPr>
    </w:lvl>
    <w:lvl w:ilvl="1" w:tplc="1C090019" w:tentative="1">
      <w:start w:val="1"/>
      <w:numFmt w:val="lowerLetter"/>
      <w:lvlText w:val="%2."/>
      <w:lvlJc w:val="left"/>
      <w:pPr>
        <w:ind w:left="1424" w:hanging="360"/>
      </w:pPr>
    </w:lvl>
    <w:lvl w:ilvl="2" w:tplc="1C09001B" w:tentative="1">
      <w:start w:val="1"/>
      <w:numFmt w:val="lowerRoman"/>
      <w:lvlText w:val="%3."/>
      <w:lvlJc w:val="right"/>
      <w:pPr>
        <w:ind w:left="2144" w:hanging="180"/>
      </w:pPr>
    </w:lvl>
    <w:lvl w:ilvl="3" w:tplc="1C09000F" w:tentative="1">
      <w:start w:val="1"/>
      <w:numFmt w:val="decimal"/>
      <w:lvlText w:val="%4."/>
      <w:lvlJc w:val="left"/>
      <w:pPr>
        <w:ind w:left="2864" w:hanging="360"/>
      </w:pPr>
    </w:lvl>
    <w:lvl w:ilvl="4" w:tplc="1C090019" w:tentative="1">
      <w:start w:val="1"/>
      <w:numFmt w:val="lowerLetter"/>
      <w:lvlText w:val="%5."/>
      <w:lvlJc w:val="left"/>
      <w:pPr>
        <w:ind w:left="3584" w:hanging="360"/>
      </w:pPr>
    </w:lvl>
    <w:lvl w:ilvl="5" w:tplc="1C09001B" w:tentative="1">
      <w:start w:val="1"/>
      <w:numFmt w:val="lowerRoman"/>
      <w:lvlText w:val="%6."/>
      <w:lvlJc w:val="right"/>
      <w:pPr>
        <w:ind w:left="4304" w:hanging="180"/>
      </w:pPr>
    </w:lvl>
    <w:lvl w:ilvl="6" w:tplc="1C09000F" w:tentative="1">
      <w:start w:val="1"/>
      <w:numFmt w:val="decimal"/>
      <w:lvlText w:val="%7."/>
      <w:lvlJc w:val="left"/>
      <w:pPr>
        <w:ind w:left="5024" w:hanging="360"/>
      </w:pPr>
    </w:lvl>
    <w:lvl w:ilvl="7" w:tplc="1C090019" w:tentative="1">
      <w:start w:val="1"/>
      <w:numFmt w:val="lowerLetter"/>
      <w:lvlText w:val="%8."/>
      <w:lvlJc w:val="left"/>
      <w:pPr>
        <w:ind w:left="5744" w:hanging="360"/>
      </w:pPr>
    </w:lvl>
    <w:lvl w:ilvl="8" w:tplc="1C09001B" w:tentative="1">
      <w:start w:val="1"/>
      <w:numFmt w:val="lowerRoman"/>
      <w:lvlText w:val="%9."/>
      <w:lvlJc w:val="right"/>
      <w:pPr>
        <w:ind w:left="6464" w:hanging="180"/>
      </w:pPr>
    </w:lvl>
  </w:abstractNum>
  <w:abstractNum w:abstractNumId="40" w15:restartNumberingAfterBreak="0">
    <w:nsid w:val="643F1F61"/>
    <w:multiLevelType w:val="hybridMultilevel"/>
    <w:tmpl w:val="1E889E0E"/>
    <w:lvl w:ilvl="0" w:tplc="0EEA77CC">
      <w:start w:val="1"/>
      <w:numFmt w:val="decimal"/>
      <w:lvlText w:val="%1."/>
      <w:lvlJc w:val="left"/>
      <w:pPr>
        <w:ind w:left="720" w:hanging="360"/>
      </w:pPr>
    </w:lvl>
    <w:lvl w:ilvl="1" w:tplc="42FA0152">
      <w:start w:val="1"/>
      <w:numFmt w:val="decimal"/>
      <w:lvlText w:val="%2."/>
      <w:lvlJc w:val="left"/>
      <w:pPr>
        <w:ind w:left="720" w:hanging="360"/>
      </w:pPr>
    </w:lvl>
    <w:lvl w:ilvl="2" w:tplc="0D420F24">
      <w:start w:val="1"/>
      <w:numFmt w:val="decimal"/>
      <w:lvlText w:val="%3."/>
      <w:lvlJc w:val="left"/>
      <w:pPr>
        <w:ind w:left="720" w:hanging="360"/>
      </w:pPr>
    </w:lvl>
    <w:lvl w:ilvl="3" w:tplc="5ADE77FA">
      <w:start w:val="1"/>
      <w:numFmt w:val="decimal"/>
      <w:lvlText w:val="%4."/>
      <w:lvlJc w:val="left"/>
      <w:pPr>
        <w:ind w:left="720" w:hanging="360"/>
      </w:pPr>
    </w:lvl>
    <w:lvl w:ilvl="4" w:tplc="25F0BC38">
      <w:start w:val="1"/>
      <w:numFmt w:val="decimal"/>
      <w:lvlText w:val="%5."/>
      <w:lvlJc w:val="left"/>
      <w:pPr>
        <w:ind w:left="720" w:hanging="360"/>
      </w:pPr>
    </w:lvl>
    <w:lvl w:ilvl="5" w:tplc="324CD662">
      <w:start w:val="1"/>
      <w:numFmt w:val="decimal"/>
      <w:lvlText w:val="%6."/>
      <w:lvlJc w:val="left"/>
      <w:pPr>
        <w:ind w:left="720" w:hanging="360"/>
      </w:pPr>
    </w:lvl>
    <w:lvl w:ilvl="6" w:tplc="03ECE01C">
      <w:start w:val="1"/>
      <w:numFmt w:val="decimal"/>
      <w:lvlText w:val="%7."/>
      <w:lvlJc w:val="left"/>
      <w:pPr>
        <w:ind w:left="720" w:hanging="360"/>
      </w:pPr>
    </w:lvl>
    <w:lvl w:ilvl="7" w:tplc="3FACFB92">
      <w:start w:val="1"/>
      <w:numFmt w:val="decimal"/>
      <w:lvlText w:val="%8."/>
      <w:lvlJc w:val="left"/>
      <w:pPr>
        <w:ind w:left="720" w:hanging="360"/>
      </w:pPr>
    </w:lvl>
    <w:lvl w:ilvl="8" w:tplc="AACA909A">
      <w:start w:val="1"/>
      <w:numFmt w:val="decimal"/>
      <w:lvlText w:val="%9."/>
      <w:lvlJc w:val="left"/>
      <w:pPr>
        <w:ind w:left="720" w:hanging="360"/>
      </w:pPr>
    </w:lvl>
  </w:abstractNum>
  <w:abstractNum w:abstractNumId="41" w15:restartNumberingAfterBreak="0">
    <w:nsid w:val="64A729D9"/>
    <w:multiLevelType w:val="hybridMultilevel"/>
    <w:tmpl w:val="5EB228F8"/>
    <w:lvl w:ilvl="0" w:tplc="28E40DBC">
      <w:start w:val="1"/>
      <w:numFmt w:val="decimal"/>
      <w:lvlText w:val="%1."/>
      <w:lvlJc w:val="left"/>
      <w:pPr>
        <w:ind w:left="1320" w:hanging="360"/>
      </w:pPr>
    </w:lvl>
    <w:lvl w:ilvl="1" w:tplc="5A20E692">
      <w:start w:val="1"/>
      <w:numFmt w:val="decimal"/>
      <w:lvlText w:val="%2."/>
      <w:lvlJc w:val="left"/>
      <w:pPr>
        <w:ind w:left="1320" w:hanging="360"/>
      </w:pPr>
    </w:lvl>
    <w:lvl w:ilvl="2" w:tplc="01683338">
      <w:start w:val="1"/>
      <w:numFmt w:val="decimal"/>
      <w:lvlText w:val="%3."/>
      <w:lvlJc w:val="left"/>
      <w:pPr>
        <w:ind w:left="1320" w:hanging="360"/>
      </w:pPr>
    </w:lvl>
    <w:lvl w:ilvl="3" w:tplc="64A44C6E">
      <w:start w:val="1"/>
      <w:numFmt w:val="decimal"/>
      <w:lvlText w:val="%4."/>
      <w:lvlJc w:val="left"/>
      <w:pPr>
        <w:ind w:left="1320" w:hanging="360"/>
      </w:pPr>
    </w:lvl>
    <w:lvl w:ilvl="4" w:tplc="9696635E">
      <w:start w:val="1"/>
      <w:numFmt w:val="decimal"/>
      <w:lvlText w:val="%5."/>
      <w:lvlJc w:val="left"/>
      <w:pPr>
        <w:ind w:left="1320" w:hanging="360"/>
      </w:pPr>
    </w:lvl>
    <w:lvl w:ilvl="5" w:tplc="65AAB1A2">
      <w:start w:val="1"/>
      <w:numFmt w:val="decimal"/>
      <w:lvlText w:val="%6."/>
      <w:lvlJc w:val="left"/>
      <w:pPr>
        <w:ind w:left="1320" w:hanging="360"/>
      </w:pPr>
    </w:lvl>
    <w:lvl w:ilvl="6" w:tplc="0FE04BB0">
      <w:start w:val="1"/>
      <w:numFmt w:val="decimal"/>
      <w:lvlText w:val="%7."/>
      <w:lvlJc w:val="left"/>
      <w:pPr>
        <w:ind w:left="1320" w:hanging="360"/>
      </w:pPr>
    </w:lvl>
    <w:lvl w:ilvl="7" w:tplc="F6FCC94C">
      <w:start w:val="1"/>
      <w:numFmt w:val="decimal"/>
      <w:lvlText w:val="%8."/>
      <w:lvlJc w:val="left"/>
      <w:pPr>
        <w:ind w:left="1320" w:hanging="360"/>
      </w:pPr>
    </w:lvl>
    <w:lvl w:ilvl="8" w:tplc="FD30AB5C">
      <w:start w:val="1"/>
      <w:numFmt w:val="decimal"/>
      <w:lvlText w:val="%9."/>
      <w:lvlJc w:val="left"/>
      <w:pPr>
        <w:ind w:left="1320" w:hanging="360"/>
      </w:pPr>
    </w:lvl>
  </w:abstractNum>
  <w:abstractNum w:abstractNumId="42" w15:restartNumberingAfterBreak="0">
    <w:nsid w:val="654308F0"/>
    <w:multiLevelType w:val="hybridMultilevel"/>
    <w:tmpl w:val="282C9BF4"/>
    <w:lvl w:ilvl="0" w:tplc="DA301258">
      <w:numFmt w:val="bullet"/>
      <w:lvlText w:val="-"/>
      <w:lvlJc w:val="left"/>
      <w:pPr>
        <w:ind w:left="1080" w:hanging="360"/>
      </w:pPr>
      <w:rPr>
        <w:rFonts w:ascii="Times New Roman" w:eastAsia="Times New Roman" w:hAnsi="Times New Roman"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674C2B8D"/>
    <w:multiLevelType w:val="hybridMultilevel"/>
    <w:tmpl w:val="E3560E40"/>
    <w:lvl w:ilvl="0" w:tplc="28582B14">
      <w:start w:val="1"/>
      <w:numFmt w:val="decimal"/>
      <w:lvlText w:val="%1."/>
      <w:lvlJc w:val="left"/>
      <w:pPr>
        <w:ind w:left="1320" w:hanging="360"/>
      </w:pPr>
    </w:lvl>
    <w:lvl w:ilvl="1" w:tplc="1F3A3DD8">
      <w:start w:val="1"/>
      <w:numFmt w:val="decimal"/>
      <w:lvlText w:val="%2."/>
      <w:lvlJc w:val="left"/>
      <w:pPr>
        <w:ind w:left="1320" w:hanging="360"/>
      </w:pPr>
    </w:lvl>
    <w:lvl w:ilvl="2" w:tplc="DECCC90C">
      <w:start w:val="1"/>
      <w:numFmt w:val="decimal"/>
      <w:lvlText w:val="%3."/>
      <w:lvlJc w:val="left"/>
      <w:pPr>
        <w:ind w:left="1320" w:hanging="360"/>
      </w:pPr>
    </w:lvl>
    <w:lvl w:ilvl="3" w:tplc="73BA354E">
      <w:start w:val="1"/>
      <w:numFmt w:val="decimal"/>
      <w:lvlText w:val="%4."/>
      <w:lvlJc w:val="left"/>
      <w:pPr>
        <w:ind w:left="1320" w:hanging="360"/>
      </w:pPr>
    </w:lvl>
    <w:lvl w:ilvl="4" w:tplc="62F6D270">
      <w:start w:val="1"/>
      <w:numFmt w:val="decimal"/>
      <w:lvlText w:val="%5."/>
      <w:lvlJc w:val="left"/>
      <w:pPr>
        <w:ind w:left="1320" w:hanging="360"/>
      </w:pPr>
    </w:lvl>
    <w:lvl w:ilvl="5" w:tplc="A2C299CC">
      <w:start w:val="1"/>
      <w:numFmt w:val="decimal"/>
      <w:lvlText w:val="%6."/>
      <w:lvlJc w:val="left"/>
      <w:pPr>
        <w:ind w:left="1320" w:hanging="360"/>
      </w:pPr>
    </w:lvl>
    <w:lvl w:ilvl="6" w:tplc="9FDC67EE">
      <w:start w:val="1"/>
      <w:numFmt w:val="decimal"/>
      <w:lvlText w:val="%7."/>
      <w:lvlJc w:val="left"/>
      <w:pPr>
        <w:ind w:left="1320" w:hanging="360"/>
      </w:pPr>
    </w:lvl>
    <w:lvl w:ilvl="7" w:tplc="82F2E186">
      <w:start w:val="1"/>
      <w:numFmt w:val="decimal"/>
      <w:lvlText w:val="%8."/>
      <w:lvlJc w:val="left"/>
      <w:pPr>
        <w:ind w:left="1320" w:hanging="360"/>
      </w:pPr>
    </w:lvl>
    <w:lvl w:ilvl="8" w:tplc="55225B90">
      <w:start w:val="1"/>
      <w:numFmt w:val="decimal"/>
      <w:lvlText w:val="%9."/>
      <w:lvlJc w:val="left"/>
      <w:pPr>
        <w:ind w:left="1320" w:hanging="360"/>
      </w:pPr>
    </w:lvl>
  </w:abstractNum>
  <w:abstractNum w:abstractNumId="44" w15:restartNumberingAfterBreak="0">
    <w:nsid w:val="67F01E0D"/>
    <w:multiLevelType w:val="hybridMultilevel"/>
    <w:tmpl w:val="1FCA00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8BF2DDE"/>
    <w:multiLevelType w:val="hybridMultilevel"/>
    <w:tmpl w:val="99D626AA"/>
    <w:lvl w:ilvl="0" w:tplc="8D3CB6B6">
      <w:start w:val="1"/>
      <w:numFmt w:val="bullet"/>
      <w:lvlText w:val=""/>
      <w:lvlJc w:val="left"/>
      <w:pPr>
        <w:ind w:left="720" w:hanging="360"/>
      </w:pPr>
      <w:rPr>
        <w:rFonts w:ascii="Symbol" w:hAnsi="Symbol"/>
      </w:rPr>
    </w:lvl>
    <w:lvl w:ilvl="1" w:tplc="E29ABCB6">
      <w:start w:val="1"/>
      <w:numFmt w:val="bullet"/>
      <w:lvlText w:val=""/>
      <w:lvlJc w:val="left"/>
      <w:pPr>
        <w:ind w:left="720" w:hanging="360"/>
      </w:pPr>
      <w:rPr>
        <w:rFonts w:ascii="Symbol" w:hAnsi="Symbol"/>
      </w:rPr>
    </w:lvl>
    <w:lvl w:ilvl="2" w:tplc="036C82EA">
      <w:start w:val="1"/>
      <w:numFmt w:val="bullet"/>
      <w:lvlText w:val=""/>
      <w:lvlJc w:val="left"/>
      <w:pPr>
        <w:ind w:left="720" w:hanging="360"/>
      </w:pPr>
      <w:rPr>
        <w:rFonts w:ascii="Symbol" w:hAnsi="Symbol"/>
      </w:rPr>
    </w:lvl>
    <w:lvl w:ilvl="3" w:tplc="C406BF18">
      <w:start w:val="1"/>
      <w:numFmt w:val="bullet"/>
      <w:lvlText w:val=""/>
      <w:lvlJc w:val="left"/>
      <w:pPr>
        <w:ind w:left="720" w:hanging="360"/>
      </w:pPr>
      <w:rPr>
        <w:rFonts w:ascii="Symbol" w:hAnsi="Symbol"/>
      </w:rPr>
    </w:lvl>
    <w:lvl w:ilvl="4" w:tplc="6FF69BF6">
      <w:start w:val="1"/>
      <w:numFmt w:val="bullet"/>
      <w:lvlText w:val=""/>
      <w:lvlJc w:val="left"/>
      <w:pPr>
        <w:ind w:left="720" w:hanging="360"/>
      </w:pPr>
      <w:rPr>
        <w:rFonts w:ascii="Symbol" w:hAnsi="Symbol"/>
      </w:rPr>
    </w:lvl>
    <w:lvl w:ilvl="5" w:tplc="D3108B06">
      <w:start w:val="1"/>
      <w:numFmt w:val="bullet"/>
      <w:lvlText w:val=""/>
      <w:lvlJc w:val="left"/>
      <w:pPr>
        <w:ind w:left="720" w:hanging="360"/>
      </w:pPr>
      <w:rPr>
        <w:rFonts w:ascii="Symbol" w:hAnsi="Symbol"/>
      </w:rPr>
    </w:lvl>
    <w:lvl w:ilvl="6" w:tplc="00A2C1B2">
      <w:start w:val="1"/>
      <w:numFmt w:val="bullet"/>
      <w:lvlText w:val=""/>
      <w:lvlJc w:val="left"/>
      <w:pPr>
        <w:ind w:left="720" w:hanging="360"/>
      </w:pPr>
      <w:rPr>
        <w:rFonts w:ascii="Symbol" w:hAnsi="Symbol"/>
      </w:rPr>
    </w:lvl>
    <w:lvl w:ilvl="7" w:tplc="414C5202">
      <w:start w:val="1"/>
      <w:numFmt w:val="bullet"/>
      <w:lvlText w:val=""/>
      <w:lvlJc w:val="left"/>
      <w:pPr>
        <w:ind w:left="720" w:hanging="360"/>
      </w:pPr>
      <w:rPr>
        <w:rFonts w:ascii="Symbol" w:hAnsi="Symbol"/>
      </w:rPr>
    </w:lvl>
    <w:lvl w:ilvl="8" w:tplc="AF1E8362">
      <w:start w:val="1"/>
      <w:numFmt w:val="bullet"/>
      <w:lvlText w:val=""/>
      <w:lvlJc w:val="left"/>
      <w:pPr>
        <w:ind w:left="720" w:hanging="360"/>
      </w:pPr>
      <w:rPr>
        <w:rFonts w:ascii="Symbol" w:hAnsi="Symbol"/>
      </w:rPr>
    </w:lvl>
  </w:abstractNum>
  <w:abstractNum w:abstractNumId="46" w15:restartNumberingAfterBreak="0">
    <w:nsid w:val="6FBA020B"/>
    <w:multiLevelType w:val="hybridMultilevel"/>
    <w:tmpl w:val="0664A4A8"/>
    <w:lvl w:ilvl="0" w:tplc="292286C0">
      <w:start w:val="1"/>
      <w:numFmt w:val="bullet"/>
      <w:lvlText w:val=""/>
      <w:lvlJc w:val="left"/>
      <w:pPr>
        <w:ind w:left="720" w:hanging="360"/>
      </w:pPr>
      <w:rPr>
        <w:rFonts w:ascii="Symbol" w:hAnsi="Symbol"/>
      </w:rPr>
    </w:lvl>
    <w:lvl w:ilvl="1" w:tplc="D5221544">
      <w:start w:val="1"/>
      <w:numFmt w:val="bullet"/>
      <w:lvlText w:val=""/>
      <w:lvlJc w:val="left"/>
      <w:pPr>
        <w:ind w:left="720" w:hanging="360"/>
      </w:pPr>
      <w:rPr>
        <w:rFonts w:ascii="Symbol" w:hAnsi="Symbol"/>
      </w:rPr>
    </w:lvl>
    <w:lvl w:ilvl="2" w:tplc="15E2BECE">
      <w:start w:val="1"/>
      <w:numFmt w:val="bullet"/>
      <w:lvlText w:val=""/>
      <w:lvlJc w:val="left"/>
      <w:pPr>
        <w:ind w:left="720" w:hanging="360"/>
      </w:pPr>
      <w:rPr>
        <w:rFonts w:ascii="Symbol" w:hAnsi="Symbol"/>
      </w:rPr>
    </w:lvl>
    <w:lvl w:ilvl="3" w:tplc="56A442DE">
      <w:start w:val="1"/>
      <w:numFmt w:val="bullet"/>
      <w:lvlText w:val=""/>
      <w:lvlJc w:val="left"/>
      <w:pPr>
        <w:ind w:left="720" w:hanging="360"/>
      </w:pPr>
      <w:rPr>
        <w:rFonts w:ascii="Symbol" w:hAnsi="Symbol"/>
      </w:rPr>
    </w:lvl>
    <w:lvl w:ilvl="4" w:tplc="A2CA9D56">
      <w:start w:val="1"/>
      <w:numFmt w:val="bullet"/>
      <w:lvlText w:val=""/>
      <w:lvlJc w:val="left"/>
      <w:pPr>
        <w:ind w:left="720" w:hanging="360"/>
      </w:pPr>
      <w:rPr>
        <w:rFonts w:ascii="Symbol" w:hAnsi="Symbol"/>
      </w:rPr>
    </w:lvl>
    <w:lvl w:ilvl="5" w:tplc="621AD80A">
      <w:start w:val="1"/>
      <w:numFmt w:val="bullet"/>
      <w:lvlText w:val=""/>
      <w:lvlJc w:val="left"/>
      <w:pPr>
        <w:ind w:left="720" w:hanging="360"/>
      </w:pPr>
      <w:rPr>
        <w:rFonts w:ascii="Symbol" w:hAnsi="Symbol"/>
      </w:rPr>
    </w:lvl>
    <w:lvl w:ilvl="6" w:tplc="70060DAA">
      <w:start w:val="1"/>
      <w:numFmt w:val="bullet"/>
      <w:lvlText w:val=""/>
      <w:lvlJc w:val="left"/>
      <w:pPr>
        <w:ind w:left="720" w:hanging="360"/>
      </w:pPr>
      <w:rPr>
        <w:rFonts w:ascii="Symbol" w:hAnsi="Symbol"/>
      </w:rPr>
    </w:lvl>
    <w:lvl w:ilvl="7" w:tplc="9E5A69B4">
      <w:start w:val="1"/>
      <w:numFmt w:val="bullet"/>
      <w:lvlText w:val=""/>
      <w:lvlJc w:val="left"/>
      <w:pPr>
        <w:ind w:left="720" w:hanging="360"/>
      </w:pPr>
      <w:rPr>
        <w:rFonts w:ascii="Symbol" w:hAnsi="Symbol"/>
      </w:rPr>
    </w:lvl>
    <w:lvl w:ilvl="8" w:tplc="A358D15A">
      <w:start w:val="1"/>
      <w:numFmt w:val="bullet"/>
      <w:lvlText w:val=""/>
      <w:lvlJc w:val="left"/>
      <w:pPr>
        <w:ind w:left="720" w:hanging="360"/>
      </w:pPr>
      <w:rPr>
        <w:rFonts w:ascii="Symbol" w:hAnsi="Symbol"/>
      </w:rPr>
    </w:lvl>
  </w:abstractNum>
  <w:abstractNum w:abstractNumId="47" w15:restartNumberingAfterBreak="0">
    <w:nsid w:val="710E6CB5"/>
    <w:multiLevelType w:val="hybridMultilevel"/>
    <w:tmpl w:val="688A0050"/>
    <w:lvl w:ilvl="0" w:tplc="67BE7B6E">
      <w:start w:val="1"/>
      <w:numFmt w:val="bullet"/>
      <w:lvlText w:val=""/>
      <w:lvlJc w:val="left"/>
      <w:pPr>
        <w:ind w:left="720" w:hanging="360"/>
      </w:pPr>
      <w:rPr>
        <w:rFonts w:ascii="Symbol" w:hAnsi="Symbol"/>
      </w:rPr>
    </w:lvl>
    <w:lvl w:ilvl="1" w:tplc="B57A9F30">
      <w:start w:val="1"/>
      <w:numFmt w:val="bullet"/>
      <w:lvlText w:val=""/>
      <w:lvlJc w:val="left"/>
      <w:pPr>
        <w:ind w:left="720" w:hanging="360"/>
      </w:pPr>
      <w:rPr>
        <w:rFonts w:ascii="Symbol" w:hAnsi="Symbol"/>
      </w:rPr>
    </w:lvl>
    <w:lvl w:ilvl="2" w:tplc="9A16DBE0">
      <w:start w:val="1"/>
      <w:numFmt w:val="bullet"/>
      <w:lvlText w:val=""/>
      <w:lvlJc w:val="left"/>
      <w:pPr>
        <w:ind w:left="720" w:hanging="360"/>
      </w:pPr>
      <w:rPr>
        <w:rFonts w:ascii="Symbol" w:hAnsi="Symbol"/>
      </w:rPr>
    </w:lvl>
    <w:lvl w:ilvl="3" w:tplc="D472951E">
      <w:start w:val="1"/>
      <w:numFmt w:val="bullet"/>
      <w:lvlText w:val=""/>
      <w:lvlJc w:val="left"/>
      <w:pPr>
        <w:ind w:left="720" w:hanging="360"/>
      </w:pPr>
      <w:rPr>
        <w:rFonts w:ascii="Symbol" w:hAnsi="Symbol"/>
      </w:rPr>
    </w:lvl>
    <w:lvl w:ilvl="4" w:tplc="20B085DA">
      <w:start w:val="1"/>
      <w:numFmt w:val="bullet"/>
      <w:lvlText w:val=""/>
      <w:lvlJc w:val="left"/>
      <w:pPr>
        <w:ind w:left="720" w:hanging="360"/>
      </w:pPr>
      <w:rPr>
        <w:rFonts w:ascii="Symbol" w:hAnsi="Symbol"/>
      </w:rPr>
    </w:lvl>
    <w:lvl w:ilvl="5" w:tplc="796CA6A4">
      <w:start w:val="1"/>
      <w:numFmt w:val="bullet"/>
      <w:lvlText w:val=""/>
      <w:lvlJc w:val="left"/>
      <w:pPr>
        <w:ind w:left="720" w:hanging="360"/>
      </w:pPr>
      <w:rPr>
        <w:rFonts w:ascii="Symbol" w:hAnsi="Symbol"/>
      </w:rPr>
    </w:lvl>
    <w:lvl w:ilvl="6" w:tplc="55D08926">
      <w:start w:val="1"/>
      <w:numFmt w:val="bullet"/>
      <w:lvlText w:val=""/>
      <w:lvlJc w:val="left"/>
      <w:pPr>
        <w:ind w:left="720" w:hanging="360"/>
      </w:pPr>
      <w:rPr>
        <w:rFonts w:ascii="Symbol" w:hAnsi="Symbol"/>
      </w:rPr>
    </w:lvl>
    <w:lvl w:ilvl="7" w:tplc="11845E70">
      <w:start w:val="1"/>
      <w:numFmt w:val="bullet"/>
      <w:lvlText w:val=""/>
      <w:lvlJc w:val="left"/>
      <w:pPr>
        <w:ind w:left="720" w:hanging="360"/>
      </w:pPr>
      <w:rPr>
        <w:rFonts w:ascii="Symbol" w:hAnsi="Symbol"/>
      </w:rPr>
    </w:lvl>
    <w:lvl w:ilvl="8" w:tplc="6EC29140">
      <w:start w:val="1"/>
      <w:numFmt w:val="bullet"/>
      <w:lvlText w:val=""/>
      <w:lvlJc w:val="left"/>
      <w:pPr>
        <w:ind w:left="720" w:hanging="360"/>
      </w:pPr>
      <w:rPr>
        <w:rFonts w:ascii="Symbol" w:hAnsi="Symbol"/>
      </w:rPr>
    </w:lvl>
  </w:abstractNum>
  <w:abstractNum w:abstractNumId="48" w15:restartNumberingAfterBreak="0">
    <w:nsid w:val="73BA748D"/>
    <w:multiLevelType w:val="multilevel"/>
    <w:tmpl w:val="08FAA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43D27A7"/>
    <w:multiLevelType w:val="hybridMultilevel"/>
    <w:tmpl w:val="F376911A"/>
    <w:lvl w:ilvl="0" w:tplc="1BE8F7A8">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A4F7A5B"/>
    <w:multiLevelType w:val="hybridMultilevel"/>
    <w:tmpl w:val="FE7CA6BA"/>
    <w:lvl w:ilvl="0" w:tplc="557860A4">
      <w:start w:val="1"/>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E9974C5"/>
    <w:multiLevelType w:val="hybridMultilevel"/>
    <w:tmpl w:val="F5462AB4"/>
    <w:lvl w:ilvl="0" w:tplc="B7BAD406">
      <w:start w:val="1"/>
      <w:numFmt w:val="bullet"/>
      <w:lvlText w:val=""/>
      <w:lvlJc w:val="left"/>
      <w:pPr>
        <w:ind w:left="720" w:hanging="360"/>
      </w:pPr>
      <w:rPr>
        <w:rFonts w:ascii="Symbol" w:hAnsi="Symbol"/>
      </w:rPr>
    </w:lvl>
    <w:lvl w:ilvl="1" w:tplc="787CBF0C">
      <w:start w:val="1"/>
      <w:numFmt w:val="bullet"/>
      <w:lvlText w:val=""/>
      <w:lvlJc w:val="left"/>
      <w:pPr>
        <w:ind w:left="720" w:hanging="360"/>
      </w:pPr>
      <w:rPr>
        <w:rFonts w:ascii="Symbol" w:hAnsi="Symbol"/>
      </w:rPr>
    </w:lvl>
    <w:lvl w:ilvl="2" w:tplc="DD022540">
      <w:start w:val="1"/>
      <w:numFmt w:val="bullet"/>
      <w:lvlText w:val=""/>
      <w:lvlJc w:val="left"/>
      <w:pPr>
        <w:ind w:left="720" w:hanging="360"/>
      </w:pPr>
      <w:rPr>
        <w:rFonts w:ascii="Symbol" w:hAnsi="Symbol"/>
      </w:rPr>
    </w:lvl>
    <w:lvl w:ilvl="3" w:tplc="71D2E876">
      <w:start w:val="1"/>
      <w:numFmt w:val="bullet"/>
      <w:lvlText w:val=""/>
      <w:lvlJc w:val="left"/>
      <w:pPr>
        <w:ind w:left="720" w:hanging="360"/>
      </w:pPr>
      <w:rPr>
        <w:rFonts w:ascii="Symbol" w:hAnsi="Symbol"/>
      </w:rPr>
    </w:lvl>
    <w:lvl w:ilvl="4" w:tplc="B296A4A0">
      <w:start w:val="1"/>
      <w:numFmt w:val="bullet"/>
      <w:lvlText w:val=""/>
      <w:lvlJc w:val="left"/>
      <w:pPr>
        <w:ind w:left="720" w:hanging="360"/>
      </w:pPr>
      <w:rPr>
        <w:rFonts w:ascii="Symbol" w:hAnsi="Symbol"/>
      </w:rPr>
    </w:lvl>
    <w:lvl w:ilvl="5" w:tplc="10EEDF06">
      <w:start w:val="1"/>
      <w:numFmt w:val="bullet"/>
      <w:lvlText w:val=""/>
      <w:lvlJc w:val="left"/>
      <w:pPr>
        <w:ind w:left="720" w:hanging="360"/>
      </w:pPr>
      <w:rPr>
        <w:rFonts w:ascii="Symbol" w:hAnsi="Symbol"/>
      </w:rPr>
    </w:lvl>
    <w:lvl w:ilvl="6" w:tplc="9B9AFE76">
      <w:start w:val="1"/>
      <w:numFmt w:val="bullet"/>
      <w:lvlText w:val=""/>
      <w:lvlJc w:val="left"/>
      <w:pPr>
        <w:ind w:left="720" w:hanging="360"/>
      </w:pPr>
      <w:rPr>
        <w:rFonts w:ascii="Symbol" w:hAnsi="Symbol"/>
      </w:rPr>
    </w:lvl>
    <w:lvl w:ilvl="7" w:tplc="86888B26">
      <w:start w:val="1"/>
      <w:numFmt w:val="bullet"/>
      <w:lvlText w:val=""/>
      <w:lvlJc w:val="left"/>
      <w:pPr>
        <w:ind w:left="720" w:hanging="360"/>
      </w:pPr>
      <w:rPr>
        <w:rFonts w:ascii="Symbol" w:hAnsi="Symbol"/>
      </w:rPr>
    </w:lvl>
    <w:lvl w:ilvl="8" w:tplc="DA7C6F7E">
      <w:start w:val="1"/>
      <w:numFmt w:val="bullet"/>
      <w:lvlText w:val=""/>
      <w:lvlJc w:val="left"/>
      <w:pPr>
        <w:ind w:left="720" w:hanging="360"/>
      </w:pPr>
      <w:rPr>
        <w:rFonts w:ascii="Symbol" w:hAnsi="Symbol"/>
      </w:rPr>
    </w:lvl>
  </w:abstractNum>
  <w:abstractNum w:abstractNumId="52" w15:restartNumberingAfterBreak="0">
    <w:nsid w:val="7F07759D"/>
    <w:multiLevelType w:val="hybridMultilevel"/>
    <w:tmpl w:val="E7C8A9CC"/>
    <w:lvl w:ilvl="0" w:tplc="DBACFC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43821756">
    <w:abstractNumId w:val="42"/>
  </w:num>
  <w:num w:numId="2" w16cid:durableId="1881630796">
    <w:abstractNumId w:val="46"/>
  </w:num>
  <w:num w:numId="3" w16cid:durableId="184103939">
    <w:abstractNumId w:val="19"/>
  </w:num>
  <w:num w:numId="4" w16cid:durableId="362366146">
    <w:abstractNumId w:val="36"/>
  </w:num>
  <w:num w:numId="5" w16cid:durableId="602301707">
    <w:abstractNumId w:val="17"/>
  </w:num>
  <w:num w:numId="6" w16cid:durableId="989360087">
    <w:abstractNumId w:val="30"/>
  </w:num>
  <w:num w:numId="7" w16cid:durableId="1130174818">
    <w:abstractNumId w:val="41"/>
  </w:num>
  <w:num w:numId="8" w16cid:durableId="507254875">
    <w:abstractNumId w:val="43"/>
  </w:num>
  <w:num w:numId="9" w16cid:durableId="1180388097">
    <w:abstractNumId w:val="14"/>
  </w:num>
  <w:num w:numId="10" w16cid:durableId="256334165">
    <w:abstractNumId w:val="49"/>
  </w:num>
  <w:num w:numId="11" w16cid:durableId="1869099785">
    <w:abstractNumId w:val="15"/>
  </w:num>
  <w:num w:numId="12" w16cid:durableId="2002811306">
    <w:abstractNumId w:val="2"/>
  </w:num>
  <w:num w:numId="13" w16cid:durableId="665281503">
    <w:abstractNumId w:val="11"/>
  </w:num>
  <w:num w:numId="14" w16cid:durableId="1934705666">
    <w:abstractNumId w:val="35"/>
  </w:num>
  <w:num w:numId="15" w16cid:durableId="216740463">
    <w:abstractNumId w:val="32"/>
  </w:num>
  <w:num w:numId="16" w16cid:durableId="618146669">
    <w:abstractNumId w:val="20"/>
  </w:num>
  <w:num w:numId="17" w16cid:durableId="133524925">
    <w:abstractNumId w:val="50"/>
  </w:num>
  <w:num w:numId="18" w16cid:durableId="1936741653">
    <w:abstractNumId w:val="23"/>
  </w:num>
  <w:num w:numId="19" w16cid:durableId="52002539">
    <w:abstractNumId w:val="37"/>
  </w:num>
  <w:num w:numId="20" w16cid:durableId="726564783">
    <w:abstractNumId w:val="25"/>
  </w:num>
  <w:num w:numId="21" w16cid:durableId="394478314">
    <w:abstractNumId w:val="22"/>
  </w:num>
  <w:num w:numId="22" w16cid:durableId="777524055">
    <w:abstractNumId w:val="12"/>
  </w:num>
  <w:num w:numId="23" w16cid:durableId="2117478348">
    <w:abstractNumId w:val="16"/>
  </w:num>
  <w:num w:numId="24" w16cid:durableId="616956375">
    <w:abstractNumId w:val="27"/>
  </w:num>
  <w:num w:numId="25" w16cid:durableId="975795721">
    <w:abstractNumId w:val="21"/>
  </w:num>
  <w:num w:numId="26" w16cid:durableId="1691418969">
    <w:abstractNumId w:val="40"/>
  </w:num>
  <w:num w:numId="27" w16cid:durableId="1727220643">
    <w:abstractNumId w:val="51"/>
  </w:num>
  <w:num w:numId="28" w16cid:durableId="2069766977">
    <w:abstractNumId w:val="3"/>
  </w:num>
  <w:num w:numId="29" w16cid:durableId="1858155638">
    <w:abstractNumId w:val="1"/>
  </w:num>
  <w:num w:numId="30" w16cid:durableId="604848947">
    <w:abstractNumId w:val="5"/>
  </w:num>
  <w:num w:numId="31" w16cid:durableId="1755854308">
    <w:abstractNumId w:val="18"/>
  </w:num>
  <w:num w:numId="32" w16cid:durableId="1447500199">
    <w:abstractNumId w:val="47"/>
  </w:num>
  <w:num w:numId="33" w16cid:durableId="254754123">
    <w:abstractNumId w:val="9"/>
  </w:num>
  <w:num w:numId="34" w16cid:durableId="173694732">
    <w:abstractNumId w:val="28"/>
  </w:num>
  <w:num w:numId="35" w16cid:durableId="1500121567">
    <w:abstractNumId w:val="8"/>
  </w:num>
  <w:num w:numId="36" w16cid:durableId="1789273795">
    <w:abstractNumId w:val="45"/>
  </w:num>
  <w:num w:numId="37" w16cid:durableId="239675087">
    <w:abstractNumId w:val="24"/>
  </w:num>
  <w:num w:numId="38" w16cid:durableId="1961842815">
    <w:abstractNumId w:val="4"/>
  </w:num>
  <w:num w:numId="39" w16cid:durableId="417140271">
    <w:abstractNumId w:val="31"/>
  </w:num>
  <w:num w:numId="40" w16cid:durableId="76942633">
    <w:abstractNumId w:val="34"/>
  </w:num>
  <w:num w:numId="41" w16cid:durableId="1887522883">
    <w:abstractNumId w:val="6"/>
  </w:num>
  <w:num w:numId="42" w16cid:durableId="1795366167">
    <w:abstractNumId w:val="38"/>
  </w:num>
  <w:num w:numId="43" w16cid:durableId="2023513327">
    <w:abstractNumId w:val="0"/>
  </w:num>
  <w:num w:numId="44" w16cid:durableId="1157039064">
    <w:abstractNumId w:val="29"/>
  </w:num>
  <w:num w:numId="45" w16cid:durableId="962081447">
    <w:abstractNumId w:val="52"/>
  </w:num>
  <w:num w:numId="46" w16cid:durableId="12149101">
    <w:abstractNumId w:val="10"/>
  </w:num>
  <w:num w:numId="47" w16cid:durableId="1325550070">
    <w:abstractNumId w:val="7"/>
  </w:num>
  <w:num w:numId="48" w16cid:durableId="1829782651">
    <w:abstractNumId w:val="44"/>
  </w:num>
  <w:num w:numId="49" w16cid:durableId="1577326218">
    <w:abstractNumId w:val="26"/>
  </w:num>
  <w:num w:numId="50" w16cid:durableId="15695581">
    <w:abstractNumId w:val="39"/>
  </w:num>
  <w:num w:numId="51" w16cid:durableId="647050782">
    <w:abstractNumId w:val="48"/>
  </w:num>
  <w:num w:numId="52" w16cid:durableId="1899129831">
    <w:abstractNumId w:val="33"/>
  </w:num>
  <w:num w:numId="53" w16cid:durableId="131198357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misse Attorneys Inc.">
    <w15:presenceInfo w15:providerId="None" w15:userId="Dommisse Attorneys Inc."/>
  </w15:person>
  <w15:person w15:author="Adrian Dommisse">
    <w15:presenceInfo w15:providerId="AD" w15:userId="S::Adrian@dommisseattorneys.co.za::bad66fad-f207-4178-9e48-43fd69cbbba5"/>
  </w15:person>
  <w15:person w15:author="Adrian Dommisse [2]">
    <w15:presenceInfo w15:providerId="None" w15:userId="Adrian Dommi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76"/>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B7"/>
    <w:rsid w:val="00000366"/>
    <w:rsid w:val="000103AF"/>
    <w:rsid w:val="0001167E"/>
    <w:rsid w:val="0001290F"/>
    <w:rsid w:val="000257F3"/>
    <w:rsid w:val="0002776F"/>
    <w:rsid w:val="00032872"/>
    <w:rsid w:val="00032C40"/>
    <w:rsid w:val="00040B2A"/>
    <w:rsid w:val="000410C7"/>
    <w:rsid w:val="00043794"/>
    <w:rsid w:val="0005243A"/>
    <w:rsid w:val="0005286D"/>
    <w:rsid w:val="00053E5D"/>
    <w:rsid w:val="000575E2"/>
    <w:rsid w:val="00062838"/>
    <w:rsid w:val="000630B5"/>
    <w:rsid w:val="000639C6"/>
    <w:rsid w:val="00063E6A"/>
    <w:rsid w:val="00070C15"/>
    <w:rsid w:val="000750D8"/>
    <w:rsid w:val="00075202"/>
    <w:rsid w:val="00085B60"/>
    <w:rsid w:val="00086BFC"/>
    <w:rsid w:val="000904FA"/>
    <w:rsid w:val="000A71C9"/>
    <w:rsid w:val="000B2393"/>
    <w:rsid w:val="000B45EE"/>
    <w:rsid w:val="000B7437"/>
    <w:rsid w:val="000B78A3"/>
    <w:rsid w:val="000C2389"/>
    <w:rsid w:val="000C2693"/>
    <w:rsid w:val="000C482B"/>
    <w:rsid w:val="000C50A0"/>
    <w:rsid w:val="000C7D67"/>
    <w:rsid w:val="000D4D65"/>
    <w:rsid w:val="000D5DF8"/>
    <w:rsid w:val="000D6D10"/>
    <w:rsid w:val="000D7626"/>
    <w:rsid w:val="000E47CC"/>
    <w:rsid w:val="000F2504"/>
    <w:rsid w:val="000F2802"/>
    <w:rsid w:val="000F4A46"/>
    <w:rsid w:val="000F6A34"/>
    <w:rsid w:val="00100807"/>
    <w:rsid w:val="00110BC0"/>
    <w:rsid w:val="001229A1"/>
    <w:rsid w:val="00130795"/>
    <w:rsid w:val="00133F3B"/>
    <w:rsid w:val="00134AC8"/>
    <w:rsid w:val="00134EE1"/>
    <w:rsid w:val="00141943"/>
    <w:rsid w:val="00142005"/>
    <w:rsid w:val="00143667"/>
    <w:rsid w:val="00155E03"/>
    <w:rsid w:val="001657D5"/>
    <w:rsid w:val="001679DF"/>
    <w:rsid w:val="00170381"/>
    <w:rsid w:val="001712E5"/>
    <w:rsid w:val="001723FD"/>
    <w:rsid w:val="001755BA"/>
    <w:rsid w:val="00180B87"/>
    <w:rsid w:val="0018187D"/>
    <w:rsid w:val="0019609B"/>
    <w:rsid w:val="00196D18"/>
    <w:rsid w:val="001A0F46"/>
    <w:rsid w:val="001A35B9"/>
    <w:rsid w:val="001A3BEB"/>
    <w:rsid w:val="001A7226"/>
    <w:rsid w:val="001A7801"/>
    <w:rsid w:val="001C1C86"/>
    <w:rsid w:val="001C21B2"/>
    <w:rsid w:val="001C2A0C"/>
    <w:rsid w:val="001D1564"/>
    <w:rsid w:val="001D263D"/>
    <w:rsid w:val="001D43B1"/>
    <w:rsid w:val="001D4C87"/>
    <w:rsid w:val="001D5835"/>
    <w:rsid w:val="001E179A"/>
    <w:rsid w:val="001E7ED6"/>
    <w:rsid w:val="00207535"/>
    <w:rsid w:val="0021075F"/>
    <w:rsid w:val="002125B0"/>
    <w:rsid w:val="00215E79"/>
    <w:rsid w:val="00221F76"/>
    <w:rsid w:val="002301A3"/>
    <w:rsid w:val="00241B31"/>
    <w:rsid w:val="002426A2"/>
    <w:rsid w:val="002435AF"/>
    <w:rsid w:val="0024580D"/>
    <w:rsid w:val="00247963"/>
    <w:rsid w:val="00252ADB"/>
    <w:rsid w:val="00253C3E"/>
    <w:rsid w:val="0026013A"/>
    <w:rsid w:val="0026597A"/>
    <w:rsid w:val="00266C90"/>
    <w:rsid w:val="0027781E"/>
    <w:rsid w:val="00280741"/>
    <w:rsid w:val="00281EB2"/>
    <w:rsid w:val="00290E7C"/>
    <w:rsid w:val="002928C0"/>
    <w:rsid w:val="002A3301"/>
    <w:rsid w:val="002B4524"/>
    <w:rsid w:val="002B4D23"/>
    <w:rsid w:val="002B663D"/>
    <w:rsid w:val="002C03B6"/>
    <w:rsid w:val="002C5F22"/>
    <w:rsid w:val="002D2AA4"/>
    <w:rsid w:val="002D3C1C"/>
    <w:rsid w:val="002D763E"/>
    <w:rsid w:val="002E0640"/>
    <w:rsid w:val="002E133F"/>
    <w:rsid w:val="002E7F5D"/>
    <w:rsid w:val="002F0CEF"/>
    <w:rsid w:val="002F1C1A"/>
    <w:rsid w:val="002F62B3"/>
    <w:rsid w:val="003040F8"/>
    <w:rsid w:val="0030526A"/>
    <w:rsid w:val="00307D55"/>
    <w:rsid w:val="00312BD8"/>
    <w:rsid w:val="00314CE3"/>
    <w:rsid w:val="00316E16"/>
    <w:rsid w:val="00317481"/>
    <w:rsid w:val="00320527"/>
    <w:rsid w:val="00321FDD"/>
    <w:rsid w:val="00322FB7"/>
    <w:rsid w:val="003260CE"/>
    <w:rsid w:val="003265F0"/>
    <w:rsid w:val="00327B17"/>
    <w:rsid w:val="00327F41"/>
    <w:rsid w:val="00337308"/>
    <w:rsid w:val="0034008D"/>
    <w:rsid w:val="003407C9"/>
    <w:rsid w:val="00340D4F"/>
    <w:rsid w:val="00341F4D"/>
    <w:rsid w:val="00345090"/>
    <w:rsid w:val="00351503"/>
    <w:rsid w:val="00351740"/>
    <w:rsid w:val="003522A2"/>
    <w:rsid w:val="003546AB"/>
    <w:rsid w:val="00356EE7"/>
    <w:rsid w:val="00360DDB"/>
    <w:rsid w:val="00365460"/>
    <w:rsid w:val="0037430F"/>
    <w:rsid w:val="00375C10"/>
    <w:rsid w:val="00376F43"/>
    <w:rsid w:val="003800C9"/>
    <w:rsid w:val="00385395"/>
    <w:rsid w:val="00390BDA"/>
    <w:rsid w:val="0039383F"/>
    <w:rsid w:val="00394E95"/>
    <w:rsid w:val="00395A10"/>
    <w:rsid w:val="003A1718"/>
    <w:rsid w:val="003A4550"/>
    <w:rsid w:val="003A75ED"/>
    <w:rsid w:val="003A7E38"/>
    <w:rsid w:val="003B0889"/>
    <w:rsid w:val="003B0EEB"/>
    <w:rsid w:val="003B12B9"/>
    <w:rsid w:val="003B2FC7"/>
    <w:rsid w:val="003B39F4"/>
    <w:rsid w:val="003B3F3D"/>
    <w:rsid w:val="003C368B"/>
    <w:rsid w:val="003C3B4D"/>
    <w:rsid w:val="003C3C93"/>
    <w:rsid w:val="003C46D5"/>
    <w:rsid w:val="003D05A3"/>
    <w:rsid w:val="003D0E57"/>
    <w:rsid w:val="003D1533"/>
    <w:rsid w:val="003D58BC"/>
    <w:rsid w:val="003E2243"/>
    <w:rsid w:val="003E53C9"/>
    <w:rsid w:val="003E5FCB"/>
    <w:rsid w:val="003F1BCA"/>
    <w:rsid w:val="003F637F"/>
    <w:rsid w:val="00400FE6"/>
    <w:rsid w:val="00407BB7"/>
    <w:rsid w:val="004107ED"/>
    <w:rsid w:val="00414687"/>
    <w:rsid w:val="004146A9"/>
    <w:rsid w:val="0041633D"/>
    <w:rsid w:val="00416EED"/>
    <w:rsid w:val="004212DF"/>
    <w:rsid w:val="004302C1"/>
    <w:rsid w:val="004331B0"/>
    <w:rsid w:val="004353AD"/>
    <w:rsid w:val="00436E26"/>
    <w:rsid w:val="00445928"/>
    <w:rsid w:val="004527B6"/>
    <w:rsid w:val="0045475A"/>
    <w:rsid w:val="00456DA2"/>
    <w:rsid w:val="00460C09"/>
    <w:rsid w:val="00462A69"/>
    <w:rsid w:val="00467B0E"/>
    <w:rsid w:val="00467F4B"/>
    <w:rsid w:val="00474AEF"/>
    <w:rsid w:val="00480551"/>
    <w:rsid w:val="004846F4"/>
    <w:rsid w:val="004918AB"/>
    <w:rsid w:val="00491B42"/>
    <w:rsid w:val="0049371B"/>
    <w:rsid w:val="004977DB"/>
    <w:rsid w:val="004A6DDB"/>
    <w:rsid w:val="004A7843"/>
    <w:rsid w:val="004B036D"/>
    <w:rsid w:val="004B69DF"/>
    <w:rsid w:val="004C0B1A"/>
    <w:rsid w:val="004C41EB"/>
    <w:rsid w:val="004C732D"/>
    <w:rsid w:val="004C7741"/>
    <w:rsid w:val="004D4503"/>
    <w:rsid w:val="004D4906"/>
    <w:rsid w:val="004E5D19"/>
    <w:rsid w:val="004E7D96"/>
    <w:rsid w:val="004F02CD"/>
    <w:rsid w:val="004F653C"/>
    <w:rsid w:val="004F7936"/>
    <w:rsid w:val="00500087"/>
    <w:rsid w:val="005128E9"/>
    <w:rsid w:val="0052577E"/>
    <w:rsid w:val="00525815"/>
    <w:rsid w:val="0052645A"/>
    <w:rsid w:val="00530B87"/>
    <w:rsid w:val="005354D7"/>
    <w:rsid w:val="0053643B"/>
    <w:rsid w:val="00541BD4"/>
    <w:rsid w:val="00546715"/>
    <w:rsid w:val="00550AEC"/>
    <w:rsid w:val="005511C0"/>
    <w:rsid w:val="00551AAB"/>
    <w:rsid w:val="00554146"/>
    <w:rsid w:val="005569D5"/>
    <w:rsid w:val="00561457"/>
    <w:rsid w:val="00562DC5"/>
    <w:rsid w:val="00563B77"/>
    <w:rsid w:val="00564867"/>
    <w:rsid w:val="005764F1"/>
    <w:rsid w:val="0057747B"/>
    <w:rsid w:val="005827DA"/>
    <w:rsid w:val="00584602"/>
    <w:rsid w:val="0059350D"/>
    <w:rsid w:val="005A06BA"/>
    <w:rsid w:val="005A10C1"/>
    <w:rsid w:val="005A206A"/>
    <w:rsid w:val="005A4046"/>
    <w:rsid w:val="005B1515"/>
    <w:rsid w:val="005B316A"/>
    <w:rsid w:val="005B6A7E"/>
    <w:rsid w:val="005C2A21"/>
    <w:rsid w:val="005C3A13"/>
    <w:rsid w:val="005C3EC1"/>
    <w:rsid w:val="005C44F9"/>
    <w:rsid w:val="005C6A15"/>
    <w:rsid w:val="005C6F65"/>
    <w:rsid w:val="005D0D9D"/>
    <w:rsid w:val="005D1161"/>
    <w:rsid w:val="005D4D01"/>
    <w:rsid w:val="005E1705"/>
    <w:rsid w:val="005E186E"/>
    <w:rsid w:val="005E1F12"/>
    <w:rsid w:val="005E254D"/>
    <w:rsid w:val="005E4073"/>
    <w:rsid w:val="005F056F"/>
    <w:rsid w:val="005F2313"/>
    <w:rsid w:val="005F69EA"/>
    <w:rsid w:val="006150E0"/>
    <w:rsid w:val="00615C3C"/>
    <w:rsid w:val="00616DB2"/>
    <w:rsid w:val="00624681"/>
    <w:rsid w:val="006301BE"/>
    <w:rsid w:val="00647F75"/>
    <w:rsid w:val="006519AF"/>
    <w:rsid w:val="006625D4"/>
    <w:rsid w:val="00662DB6"/>
    <w:rsid w:val="006650C1"/>
    <w:rsid w:val="00665C57"/>
    <w:rsid w:val="00670B16"/>
    <w:rsid w:val="00676F0E"/>
    <w:rsid w:val="00681303"/>
    <w:rsid w:val="00682930"/>
    <w:rsid w:val="006839CB"/>
    <w:rsid w:val="00684D4B"/>
    <w:rsid w:val="006868CA"/>
    <w:rsid w:val="0069017F"/>
    <w:rsid w:val="006922B4"/>
    <w:rsid w:val="00692AC6"/>
    <w:rsid w:val="00693ACA"/>
    <w:rsid w:val="00697C56"/>
    <w:rsid w:val="006A7FA4"/>
    <w:rsid w:val="006B1012"/>
    <w:rsid w:val="006B2802"/>
    <w:rsid w:val="006B3730"/>
    <w:rsid w:val="006C0960"/>
    <w:rsid w:val="006C300D"/>
    <w:rsid w:val="006C7722"/>
    <w:rsid w:val="006C7BD5"/>
    <w:rsid w:val="006C7F39"/>
    <w:rsid w:val="006D4540"/>
    <w:rsid w:val="006D49AF"/>
    <w:rsid w:val="006E132C"/>
    <w:rsid w:val="006E1E2C"/>
    <w:rsid w:val="006E29B7"/>
    <w:rsid w:val="006E4487"/>
    <w:rsid w:val="006E4B95"/>
    <w:rsid w:val="006E4EB5"/>
    <w:rsid w:val="006E7D61"/>
    <w:rsid w:val="006E7FB2"/>
    <w:rsid w:val="006F0EC4"/>
    <w:rsid w:val="006F48F1"/>
    <w:rsid w:val="00700479"/>
    <w:rsid w:val="00701EC6"/>
    <w:rsid w:val="00703706"/>
    <w:rsid w:val="0070521E"/>
    <w:rsid w:val="0070666B"/>
    <w:rsid w:val="00706FA5"/>
    <w:rsid w:val="007152E3"/>
    <w:rsid w:val="007162B5"/>
    <w:rsid w:val="00725348"/>
    <w:rsid w:val="00725404"/>
    <w:rsid w:val="00726502"/>
    <w:rsid w:val="00727C1F"/>
    <w:rsid w:val="007321BA"/>
    <w:rsid w:val="007329C1"/>
    <w:rsid w:val="0073397E"/>
    <w:rsid w:val="007351F9"/>
    <w:rsid w:val="00742F6E"/>
    <w:rsid w:val="00745410"/>
    <w:rsid w:val="00755043"/>
    <w:rsid w:val="007650B7"/>
    <w:rsid w:val="00765931"/>
    <w:rsid w:val="00773200"/>
    <w:rsid w:val="00777800"/>
    <w:rsid w:val="00782E4B"/>
    <w:rsid w:val="00783A3D"/>
    <w:rsid w:val="00790F4D"/>
    <w:rsid w:val="007921A4"/>
    <w:rsid w:val="0079690E"/>
    <w:rsid w:val="00796EE6"/>
    <w:rsid w:val="00797C06"/>
    <w:rsid w:val="007A4578"/>
    <w:rsid w:val="007A5B17"/>
    <w:rsid w:val="007A7E90"/>
    <w:rsid w:val="007B4392"/>
    <w:rsid w:val="007B4CA7"/>
    <w:rsid w:val="007C7486"/>
    <w:rsid w:val="007C7FB4"/>
    <w:rsid w:val="007D004E"/>
    <w:rsid w:val="007D5355"/>
    <w:rsid w:val="007D5909"/>
    <w:rsid w:val="007D6C26"/>
    <w:rsid w:val="007D7D92"/>
    <w:rsid w:val="007E4123"/>
    <w:rsid w:val="007E7964"/>
    <w:rsid w:val="007F4428"/>
    <w:rsid w:val="007F60FB"/>
    <w:rsid w:val="007F761F"/>
    <w:rsid w:val="00800352"/>
    <w:rsid w:val="00803879"/>
    <w:rsid w:val="00812523"/>
    <w:rsid w:val="00816105"/>
    <w:rsid w:val="00822D2F"/>
    <w:rsid w:val="00823189"/>
    <w:rsid w:val="00825BAE"/>
    <w:rsid w:val="00826D30"/>
    <w:rsid w:val="008315CD"/>
    <w:rsid w:val="00831AD6"/>
    <w:rsid w:val="008327E6"/>
    <w:rsid w:val="00840A20"/>
    <w:rsid w:val="008447FF"/>
    <w:rsid w:val="008453D3"/>
    <w:rsid w:val="0085573F"/>
    <w:rsid w:val="00862CC6"/>
    <w:rsid w:val="008640DA"/>
    <w:rsid w:val="008644D9"/>
    <w:rsid w:val="00865822"/>
    <w:rsid w:val="008840DE"/>
    <w:rsid w:val="0088542E"/>
    <w:rsid w:val="0088600A"/>
    <w:rsid w:val="0088650C"/>
    <w:rsid w:val="008866CD"/>
    <w:rsid w:val="008902AB"/>
    <w:rsid w:val="008A1E64"/>
    <w:rsid w:val="008A3358"/>
    <w:rsid w:val="008A4AAE"/>
    <w:rsid w:val="008A6465"/>
    <w:rsid w:val="008A7CBA"/>
    <w:rsid w:val="008B36A1"/>
    <w:rsid w:val="008B580D"/>
    <w:rsid w:val="008C16ED"/>
    <w:rsid w:val="008C2083"/>
    <w:rsid w:val="008C2FB4"/>
    <w:rsid w:val="008D2BE1"/>
    <w:rsid w:val="008D4FA4"/>
    <w:rsid w:val="008D5553"/>
    <w:rsid w:val="008E49DF"/>
    <w:rsid w:val="008E52F2"/>
    <w:rsid w:val="008F01FB"/>
    <w:rsid w:val="008F3755"/>
    <w:rsid w:val="008F4C6A"/>
    <w:rsid w:val="008F73CD"/>
    <w:rsid w:val="00907CF8"/>
    <w:rsid w:val="00910C43"/>
    <w:rsid w:val="00917CD0"/>
    <w:rsid w:val="009270CF"/>
    <w:rsid w:val="009308B1"/>
    <w:rsid w:val="009346DB"/>
    <w:rsid w:val="0093477E"/>
    <w:rsid w:val="00941AEB"/>
    <w:rsid w:val="00942A54"/>
    <w:rsid w:val="00945244"/>
    <w:rsid w:val="009564AB"/>
    <w:rsid w:val="00960568"/>
    <w:rsid w:val="0096183A"/>
    <w:rsid w:val="009644A2"/>
    <w:rsid w:val="00970584"/>
    <w:rsid w:val="009720C1"/>
    <w:rsid w:val="00974B53"/>
    <w:rsid w:val="00976120"/>
    <w:rsid w:val="009828DB"/>
    <w:rsid w:val="009839E8"/>
    <w:rsid w:val="0098572D"/>
    <w:rsid w:val="009921D8"/>
    <w:rsid w:val="0099489A"/>
    <w:rsid w:val="009A01FF"/>
    <w:rsid w:val="009A180E"/>
    <w:rsid w:val="009A7ADD"/>
    <w:rsid w:val="009B379B"/>
    <w:rsid w:val="009B6F9E"/>
    <w:rsid w:val="009C57BD"/>
    <w:rsid w:val="009D3D77"/>
    <w:rsid w:val="009D3E46"/>
    <w:rsid w:val="009D470F"/>
    <w:rsid w:val="009E259E"/>
    <w:rsid w:val="009E2B2E"/>
    <w:rsid w:val="009F079A"/>
    <w:rsid w:val="009F1E5A"/>
    <w:rsid w:val="00A01DFF"/>
    <w:rsid w:val="00A0235C"/>
    <w:rsid w:val="00A0487F"/>
    <w:rsid w:val="00A10603"/>
    <w:rsid w:val="00A1063E"/>
    <w:rsid w:val="00A11C70"/>
    <w:rsid w:val="00A166F4"/>
    <w:rsid w:val="00A172E2"/>
    <w:rsid w:val="00A24DAA"/>
    <w:rsid w:val="00A27F4D"/>
    <w:rsid w:val="00A34DE3"/>
    <w:rsid w:val="00A35230"/>
    <w:rsid w:val="00A359EC"/>
    <w:rsid w:val="00A366C0"/>
    <w:rsid w:val="00A418E0"/>
    <w:rsid w:val="00A41E1E"/>
    <w:rsid w:val="00A432AA"/>
    <w:rsid w:val="00A4712B"/>
    <w:rsid w:val="00A5096C"/>
    <w:rsid w:val="00A525E6"/>
    <w:rsid w:val="00A53FB5"/>
    <w:rsid w:val="00A57F64"/>
    <w:rsid w:val="00A70B60"/>
    <w:rsid w:val="00A712DD"/>
    <w:rsid w:val="00A72197"/>
    <w:rsid w:val="00A779CB"/>
    <w:rsid w:val="00A80A0D"/>
    <w:rsid w:val="00A82FC4"/>
    <w:rsid w:val="00A8415E"/>
    <w:rsid w:val="00A868D5"/>
    <w:rsid w:val="00A86AFF"/>
    <w:rsid w:val="00A9079A"/>
    <w:rsid w:val="00A918A1"/>
    <w:rsid w:val="00A927AD"/>
    <w:rsid w:val="00A939CA"/>
    <w:rsid w:val="00A94BF3"/>
    <w:rsid w:val="00AB14C5"/>
    <w:rsid w:val="00AB263F"/>
    <w:rsid w:val="00AB3CB8"/>
    <w:rsid w:val="00AB496B"/>
    <w:rsid w:val="00AB7859"/>
    <w:rsid w:val="00AC1196"/>
    <w:rsid w:val="00AC253D"/>
    <w:rsid w:val="00AC25D1"/>
    <w:rsid w:val="00AC3846"/>
    <w:rsid w:val="00AD0C3D"/>
    <w:rsid w:val="00AD2BEE"/>
    <w:rsid w:val="00AD3A18"/>
    <w:rsid w:val="00AD50AE"/>
    <w:rsid w:val="00AE2187"/>
    <w:rsid w:val="00AE2F64"/>
    <w:rsid w:val="00AE5B17"/>
    <w:rsid w:val="00AE60D4"/>
    <w:rsid w:val="00AE6602"/>
    <w:rsid w:val="00AE67D0"/>
    <w:rsid w:val="00AE7729"/>
    <w:rsid w:val="00AF0DD7"/>
    <w:rsid w:val="00AF4282"/>
    <w:rsid w:val="00AF71E9"/>
    <w:rsid w:val="00B00CB3"/>
    <w:rsid w:val="00B00D9E"/>
    <w:rsid w:val="00B11166"/>
    <w:rsid w:val="00B17B25"/>
    <w:rsid w:val="00B251B3"/>
    <w:rsid w:val="00B25675"/>
    <w:rsid w:val="00B25951"/>
    <w:rsid w:val="00B339D8"/>
    <w:rsid w:val="00B347C7"/>
    <w:rsid w:val="00B351F6"/>
    <w:rsid w:val="00B400EA"/>
    <w:rsid w:val="00B44C2E"/>
    <w:rsid w:val="00B45CF4"/>
    <w:rsid w:val="00B53AA5"/>
    <w:rsid w:val="00B563D6"/>
    <w:rsid w:val="00B57404"/>
    <w:rsid w:val="00B62388"/>
    <w:rsid w:val="00B6250A"/>
    <w:rsid w:val="00B63661"/>
    <w:rsid w:val="00B65A9F"/>
    <w:rsid w:val="00B65B8D"/>
    <w:rsid w:val="00B65E73"/>
    <w:rsid w:val="00B67A62"/>
    <w:rsid w:val="00B67DF6"/>
    <w:rsid w:val="00B71187"/>
    <w:rsid w:val="00B71D49"/>
    <w:rsid w:val="00B77674"/>
    <w:rsid w:val="00B826D2"/>
    <w:rsid w:val="00B83D7E"/>
    <w:rsid w:val="00B86DBE"/>
    <w:rsid w:val="00B876D2"/>
    <w:rsid w:val="00B90E7E"/>
    <w:rsid w:val="00B97CD0"/>
    <w:rsid w:val="00BA6BD2"/>
    <w:rsid w:val="00BA7A1D"/>
    <w:rsid w:val="00BB1F49"/>
    <w:rsid w:val="00BB2710"/>
    <w:rsid w:val="00BB462C"/>
    <w:rsid w:val="00BB5D58"/>
    <w:rsid w:val="00BC2DCD"/>
    <w:rsid w:val="00BC773B"/>
    <w:rsid w:val="00BC7AFA"/>
    <w:rsid w:val="00BC7CED"/>
    <w:rsid w:val="00BD1974"/>
    <w:rsid w:val="00BD69E1"/>
    <w:rsid w:val="00BD7950"/>
    <w:rsid w:val="00BE05FA"/>
    <w:rsid w:val="00BE0ACD"/>
    <w:rsid w:val="00BE60A1"/>
    <w:rsid w:val="00BE62B7"/>
    <w:rsid w:val="00BF2CD3"/>
    <w:rsid w:val="00BF3C12"/>
    <w:rsid w:val="00BF5B52"/>
    <w:rsid w:val="00C00599"/>
    <w:rsid w:val="00C05F47"/>
    <w:rsid w:val="00C131B6"/>
    <w:rsid w:val="00C13829"/>
    <w:rsid w:val="00C24FAA"/>
    <w:rsid w:val="00C2524C"/>
    <w:rsid w:val="00C31E05"/>
    <w:rsid w:val="00C32261"/>
    <w:rsid w:val="00C335DD"/>
    <w:rsid w:val="00C3581A"/>
    <w:rsid w:val="00C35D8F"/>
    <w:rsid w:val="00C433C3"/>
    <w:rsid w:val="00C44739"/>
    <w:rsid w:val="00C50568"/>
    <w:rsid w:val="00C50A48"/>
    <w:rsid w:val="00C63D01"/>
    <w:rsid w:val="00C65475"/>
    <w:rsid w:val="00C67D7D"/>
    <w:rsid w:val="00C72E59"/>
    <w:rsid w:val="00C738F0"/>
    <w:rsid w:val="00C808AA"/>
    <w:rsid w:val="00C859C1"/>
    <w:rsid w:val="00C86942"/>
    <w:rsid w:val="00C90FAD"/>
    <w:rsid w:val="00C91273"/>
    <w:rsid w:val="00C9684F"/>
    <w:rsid w:val="00C97125"/>
    <w:rsid w:val="00CA4A4A"/>
    <w:rsid w:val="00CA5AFD"/>
    <w:rsid w:val="00CB38DE"/>
    <w:rsid w:val="00CB4BE3"/>
    <w:rsid w:val="00CC0567"/>
    <w:rsid w:val="00CC326B"/>
    <w:rsid w:val="00CD11D8"/>
    <w:rsid w:val="00CD1931"/>
    <w:rsid w:val="00CD26F7"/>
    <w:rsid w:val="00CD2E6E"/>
    <w:rsid w:val="00CE1E93"/>
    <w:rsid w:val="00CE1ED9"/>
    <w:rsid w:val="00CE2869"/>
    <w:rsid w:val="00CE2A94"/>
    <w:rsid w:val="00CE6912"/>
    <w:rsid w:val="00CE6D3B"/>
    <w:rsid w:val="00CF44B5"/>
    <w:rsid w:val="00CF4FDB"/>
    <w:rsid w:val="00CF7720"/>
    <w:rsid w:val="00D02D84"/>
    <w:rsid w:val="00D064A0"/>
    <w:rsid w:val="00D11437"/>
    <w:rsid w:val="00D11DB7"/>
    <w:rsid w:val="00D14B2B"/>
    <w:rsid w:val="00D15BE7"/>
    <w:rsid w:val="00D1765A"/>
    <w:rsid w:val="00D218E3"/>
    <w:rsid w:val="00D3139F"/>
    <w:rsid w:val="00D33DB7"/>
    <w:rsid w:val="00D359A0"/>
    <w:rsid w:val="00D3631B"/>
    <w:rsid w:val="00D439CC"/>
    <w:rsid w:val="00D44FD1"/>
    <w:rsid w:val="00D450B4"/>
    <w:rsid w:val="00D5180D"/>
    <w:rsid w:val="00D52EB4"/>
    <w:rsid w:val="00D554CD"/>
    <w:rsid w:val="00D5675B"/>
    <w:rsid w:val="00D61B37"/>
    <w:rsid w:val="00D62434"/>
    <w:rsid w:val="00D63366"/>
    <w:rsid w:val="00D642A1"/>
    <w:rsid w:val="00D76917"/>
    <w:rsid w:val="00D80A9E"/>
    <w:rsid w:val="00D83E4C"/>
    <w:rsid w:val="00D84440"/>
    <w:rsid w:val="00D90F45"/>
    <w:rsid w:val="00D97F5E"/>
    <w:rsid w:val="00DA017F"/>
    <w:rsid w:val="00DB2D0B"/>
    <w:rsid w:val="00DB4821"/>
    <w:rsid w:val="00DC2D1A"/>
    <w:rsid w:val="00DC55ED"/>
    <w:rsid w:val="00DC6329"/>
    <w:rsid w:val="00DC7B51"/>
    <w:rsid w:val="00DD2457"/>
    <w:rsid w:val="00DD4583"/>
    <w:rsid w:val="00DE0243"/>
    <w:rsid w:val="00DE0637"/>
    <w:rsid w:val="00DE0A5C"/>
    <w:rsid w:val="00DE2BE2"/>
    <w:rsid w:val="00DE6E96"/>
    <w:rsid w:val="00DE6F03"/>
    <w:rsid w:val="00DF4787"/>
    <w:rsid w:val="00E03FEF"/>
    <w:rsid w:val="00E04896"/>
    <w:rsid w:val="00E06628"/>
    <w:rsid w:val="00E16EAD"/>
    <w:rsid w:val="00E21AB8"/>
    <w:rsid w:val="00E21D49"/>
    <w:rsid w:val="00E23CDF"/>
    <w:rsid w:val="00E27419"/>
    <w:rsid w:val="00E27EE3"/>
    <w:rsid w:val="00E319E7"/>
    <w:rsid w:val="00E369FF"/>
    <w:rsid w:val="00E41BCE"/>
    <w:rsid w:val="00E545FF"/>
    <w:rsid w:val="00E56E2D"/>
    <w:rsid w:val="00E628D6"/>
    <w:rsid w:val="00E656CF"/>
    <w:rsid w:val="00E66BCF"/>
    <w:rsid w:val="00E6724C"/>
    <w:rsid w:val="00E70179"/>
    <w:rsid w:val="00E714E9"/>
    <w:rsid w:val="00E74523"/>
    <w:rsid w:val="00E76271"/>
    <w:rsid w:val="00E83EC4"/>
    <w:rsid w:val="00E919DC"/>
    <w:rsid w:val="00E91D31"/>
    <w:rsid w:val="00E9372E"/>
    <w:rsid w:val="00EA2E44"/>
    <w:rsid w:val="00EA4757"/>
    <w:rsid w:val="00EA79A6"/>
    <w:rsid w:val="00EB3C1D"/>
    <w:rsid w:val="00EB7078"/>
    <w:rsid w:val="00EB7D90"/>
    <w:rsid w:val="00EC4150"/>
    <w:rsid w:val="00EC558E"/>
    <w:rsid w:val="00EC6B3A"/>
    <w:rsid w:val="00ED04A0"/>
    <w:rsid w:val="00ED05D4"/>
    <w:rsid w:val="00ED3548"/>
    <w:rsid w:val="00ED4539"/>
    <w:rsid w:val="00ED7265"/>
    <w:rsid w:val="00EE159A"/>
    <w:rsid w:val="00EE3114"/>
    <w:rsid w:val="00EE3475"/>
    <w:rsid w:val="00EE6BB3"/>
    <w:rsid w:val="00EE7AA6"/>
    <w:rsid w:val="00EE7E4A"/>
    <w:rsid w:val="00F107B0"/>
    <w:rsid w:val="00F1153C"/>
    <w:rsid w:val="00F118F7"/>
    <w:rsid w:val="00F14C0C"/>
    <w:rsid w:val="00F17563"/>
    <w:rsid w:val="00F277F4"/>
    <w:rsid w:val="00F3055F"/>
    <w:rsid w:val="00F35817"/>
    <w:rsid w:val="00F36F25"/>
    <w:rsid w:val="00F433EE"/>
    <w:rsid w:val="00F43C60"/>
    <w:rsid w:val="00F4447A"/>
    <w:rsid w:val="00F50ACC"/>
    <w:rsid w:val="00F5256A"/>
    <w:rsid w:val="00F57372"/>
    <w:rsid w:val="00F64D63"/>
    <w:rsid w:val="00F6758C"/>
    <w:rsid w:val="00F71DAC"/>
    <w:rsid w:val="00F7229E"/>
    <w:rsid w:val="00F722C8"/>
    <w:rsid w:val="00F74185"/>
    <w:rsid w:val="00F74385"/>
    <w:rsid w:val="00F759C2"/>
    <w:rsid w:val="00F75C5C"/>
    <w:rsid w:val="00F81B55"/>
    <w:rsid w:val="00F9379B"/>
    <w:rsid w:val="00FA14E2"/>
    <w:rsid w:val="00FA2FA9"/>
    <w:rsid w:val="00FA3CF7"/>
    <w:rsid w:val="00FB0D39"/>
    <w:rsid w:val="00FB5138"/>
    <w:rsid w:val="00FC0191"/>
    <w:rsid w:val="00FC07F7"/>
    <w:rsid w:val="00FC0A25"/>
    <w:rsid w:val="00FC1137"/>
    <w:rsid w:val="00FC2BA6"/>
    <w:rsid w:val="00FC2CF6"/>
    <w:rsid w:val="00FC401A"/>
    <w:rsid w:val="00FD57EE"/>
    <w:rsid w:val="00FD5875"/>
    <w:rsid w:val="00FE5066"/>
    <w:rsid w:val="00FF28C3"/>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12FCB7"/>
  <w15:chartTrackingRefBased/>
  <w15:docId w15:val="{AA0E0B76-FAB6-4961-A839-5ED15F2D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annotation text" w:uiPriority="99"/>
    <w:lsdException w:name="head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527"/>
    <w:pPr>
      <w:autoSpaceDE w:val="0"/>
      <w:autoSpaceDN w:val="0"/>
      <w:adjustRightInd w:val="0"/>
    </w:pPr>
    <w:rPr>
      <w:sz w:val="24"/>
      <w:szCs w:val="24"/>
      <w:lang w:eastAsia="ja-JP"/>
    </w:rPr>
  </w:style>
  <w:style w:type="paragraph" w:styleId="Heading1">
    <w:name w:val="heading 1"/>
    <w:basedOn w:val="Normal"/>
    <w:next w:val="BodyText"/>
    <w:qFormat/>
    <w:pPr>
      <w:keepNext/>
      <w:keepLines/>
      <w:spacing w:before="240" w:line="240" w:lineRule="exact"/>
      <w:ind w:right="720"/>
      <w:jc w:val="center"/>
      <w:outlineLvl w:val="0"/>
    </w:pPr>
    <w:rPr>
      <w:caps/>
    </w:rPr>
  </w:style>
  <w:style w:type="paragraph" w:styleId="Heading2">
    <w:name w:val="heading 2"/>
    <w:basedOn w:val="Normal"/>
    <w:next w:val="Normal"/>
    <w:link w:val="Heading2Char"/>
    <w:qFormat/>
    <w:rsid w:val="005D4D01"/>
    <w:pPr>
      <w:keepNext/>
      <w:keepLines/>
      <w:spacing w:after="120"/>
      <w:ind w:right="720"/>
      <w:outlineLvl w:val="1"/>
    </w:pPr>
    <w:rPr>
      <w:rFonts w:ascii="Arial" w:eastAsia="Arial" w:hAnsi="Arial" w:cstheme="majorBidi"/>
      <w:bCs/>
      <w:color w:val="2F5496" w:themeColor="accent1" w:themeShade="BF"/>
      <w:sz w:val="36"/>
    </w:rPr>
  </w:style>
  <w:style w:type="paragraph" w:styleId="Heading3">
    <w:name w:val="heading 3"/>
    <w:basedOn w:val="Normal"/>
    <w:next w:val="Normal"/>
    <w:link w:val="Heading3Char"/>
    <w:qFormat/>
    <w:rsid w:val="005D4D01"/>
    <w:pPr>
      <w:outlineLvl w:val="2"/>
    </w:pPr>
    <w:rPr>
      <w:i/>
      <w:iCs/>
      <w:color w:val="0070C0"/>
    </w:rPr>
  </w:style>
  <w:style w:type="paragraph" w:styleId="Heading4">
    <w:name w:val="heading 4"/>
    <w:basedOn w:val="Normal"/>
    <w:next w:val="Normal"/>
    <w:link w:val="Heading4Char"/>
    <w:qFormat/>
    <w:rsid w:val="008D5553"/>
    <w:pPr>
      <w:keepNext/>
      <w:keepLines/>
      <w:spacing w:before="40" w:after="16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10440"/>
      </w:tabs>
    </w:pPr>
  </w:style>
  <w:style w:type="paragraph" w:styleId="BodyText">
    <w:name w:val="Body Text"/>
    <w:basedOn w:val="Normal"/>
    <w:rsid w:val="00FD57EE"/>
    <w:pPr>
      <w:widowControl w:val="0"/>
      <w:spacing w:after="240"/>
      <w:ind w:firstLine="720"/>
      <w:jc w:val="both"/>
    </w:pPr>
  </w:style>
  <w:style w:type="character" w:styleId="FootnoteReference">
    <w:name w:val="footnote reference"/>
    <w:rsid w:val="00320527"/>
    <w:rPr>
      <w:rFonts w:ascii="Times New Roman" w:hAnsi="Times New Roman"/>
      <w:spacing w:val="0"/>
      <w:sz w:val="20"/>
      <w:vertAlign w:val="superscript"/>
    </w:rPr>
  </w:style>
  <w:style w:type="paragraph" w:styleId="FootnoteText">
    <w:name w:val="footnote text"/>
    <w:basedOn w:val="Normal"/>
    <w:rsid w:val="003522A2"/>
    <w:pPr>
      <w:tabs>
        <w:tab w:val="left" w:pos="360"/>
      </w:tabs>
      <w:spacing w:after="60"/>
      <w:jc w:val="both"/>
    </w:pPr>
    <w:rPr>
      <w:sz w:val="20"/>
      <w:szCs w:val="20"/>
    </w:rPr>
  </w:style>
  <w:style w:type="paragraph" w:customStyle="1" w:styleId="TableText">
    <w:name w:val="Table Text"/>
    <w:basedOn w:val="Normal"/>
    <w:rsid w:val="00FD57EE"/>
    <w:pPr>
      <w:tabs>
        <w:tab w:val="left" w:pos="432"/>
      </w:tabs>
      <w:suppressAutoHyphens/>
      <w:spacing w:after="240"/>
      <w:jc w:val="both"/>
    </w:pPr>
  </w:style>
  <w:style w:type="paragraph" w:customStyle="1" w:styleId="TableTextBU">
    <w:name w:val="Table Text BU"/>
    <w:basedOn w:val="TableText"/>
    <w:rsid w:val="00FD57EE"/>
    <w:pPr>
      <w:keepNext/>
      <w:jc w:val="center"/>
    </w:pPr>
    <w:rPr>
      <w:b/>
      <w:bCs/>
      <w:u w:val="single"/>
    </w:rPr>
  </w:style>
  <w:style w:type="paragraph" w:customStyle="1" w:styleId="TableItalics">
    <w:name w:val="Table Italics"/>
    <w:basedOn w:val="TableText"/>
    <w:rsid w:val="00FD57EE"/>
    <w:pPr>
      <w:jc w:val="left"/>
    </w:pPr>
    <w:rPr>
      <w:i/>
      <w:iCs/>
    </w:rPr>
  </w:style>
  <w:style w:type="paragraph" w:styleId="BodyText2">
    <w:name w:val="Body Text 2"/>
    <w:basedOn w:val="Normal"/>
    <w:link w:val="BodyText2Char"/>
    <w:rPr>
      <w:sz w:val="22"/>
      <w:szCs w:val="22"/>
    </w:rPr>
  </w:style>
  <w:style w:type="character" w:customStyle="1" w:styleId="BodyText2Char">
    <w:name w:val="Body Text 2 Char"/>
    <w:link w:val="BodyText2"/>
    <w:rsid w:val="00A11C70"/>
    <w:rPr>
      <w:sz w:val="22"/>
      <w:szCs w:val="22"/>
      <w:lang w:eastAsia="ja-JP"/>
    </w:rPr>
  </w:style>
  <w:style w:type="character" w:customStyle="1" w:styleId="FooterChar">
    <w:name w:val="Footer Char"/>
    <w:link w:val="Footer"/>
    <w:uiPriority w:val="99"/>
    <w:rsid w:val="00E66BCF"/>
    <w:rPr>
      <w:sz w:val="24"/>
      <w:szCs w:val="24"/>
      <w:lang w:eastAsia="ja-JP"/>
    </w:rPr>
  </w:style>
  <w:style w:type="paragraph" w:customStyle="1" w:styleId="TableItalicsIndent">
    <w:name w:val="Table Italics Indent"/>
    <w:basedOn w:val="TableItalics"/>
    <w:rsid w:val="00682930"/>
    <w:pPr>
      <w:ind w:left="360"/>
    </w:pPr>
  </w:style>
  <w:style w:type="paragraph" w:styleId="Header">
    <w:name w:val="header"/>
    <w:basedOn w:val="Normal"/>
    <w:link w:val="HeaderChar"/>
    <w:uiPriority w:val="99"/>
    <w:rsid w:val="00DD2457"/>
    <w:pPr>
      <w:tabs>
        <w:tab w:val="center" w:pos="4680"/>
        <w:tab w:val="right" w:pos="9360"/>
      </w:tabs>
    </w:pPr>
  </w:style>
  <w:style w:type="character" w:customStyle="1" w:styleId="HeaderChar">
    <w:name w:val="Header Char"/>
    <w:basedOn w:val="DefaultParagraphFont"/>
    <w:link w:val="Header"/>
    <w:uiPriority w:val="99"/>
    <w:rsid w:val="00DD2457"/>
    <w:rPr>
      <w:sz w:val="24"/>
      <w:szCs w:val="24"/>
      <w:lang w:eastAsia="ja-JP"/>
    </w:rPr>
  </w:style>
  <w:style w:type="character" w:styleId="PageNumber">
    <w:name w:val="page number"/>
    <w:basedOn w:val="DefaultParagraphFont"/>
    <w:uiPriority w:val="99"/>
    <w:rsid w:val="00DD2457"/>
  </w:style>
  <w:style w:type="character" w:styleId="Hyperlink">
    <w:name w:val="Hyperlink"/>
    <w:basedOn w:val="DefaultParagraphFont"/>
    <w:uiPriority w:val="99"/>
    <w:rsid w:val="00A418E0"/>
    <w:rPr>
      <w:color w:val="0563C1" w:themeColor="hyperlink"/>
      <w:u w:val="single"/>
    </w:rPr>
  </w:style>
  <w:style w:type="character" w:styleId="UnresolvedMention">
    <w:name w:val="Unresolved Mention"/>
    <w:basedOn w:val="DefaultParagraphFont"/>
    <w:uiPriority w:val="99"/>
    <w:semiHidden/>
    <w:unhideWhenUsed/>
    <w:rsid w:val="00A418E0"/>
    <w:rPr>
      <w:color w:val="605E5C"/>
      <w:shd w:val="clear" w:color="auto" w:fill="E1DFDD"/>
    </w:rPr>
  </w:style>
  <w:style w:type="paragraph" w:customStyle="1" w:styleId="Heading2-2">
    <w:name w:val="Heading 2-2"/>
    <w:basedOn w:val="Heading2"/>
    <w:link w:val="Heading2-2Char"/>
    <w:qFormat/>
    <w:rsid w:val="00FC1137"/>
    <w:pPr>
      <w:pBdr>
        <w:bottom w:val="single" w:sz="4" w:space="1" w:color="BFBFBF" w:themeColor="background1" w:themeShade="BF"/>
      </w:pBdr>
      <w:ind w:right="0"/>
    </w:pPr>
    <w:rPr>
      <w:b/>
      <w:bCs w:val="0"/>
      <w:color w:val="44546A" w:themeColor="text2"/>
      <w:sz w:val="28"/>
    </w:rPr>
  </w:style>
  <w:style w:type="character" w:customStyle="1" w:styleId="Heading2-2Char">
    <w:name w:val="Heading 2-2 Char"/>
    <w:basedOn w:val="Heading2Char"/>
    <w:link w:val="Heading2-2"/>
    <w:rsid w:val="00FC1137"/>
    <w:rPr>
      <w:rFonts w:ascii="Arial" w:eastAsia="Arial" w:hAnsi="Arial" w:cstheme="majorBidi"/>
      <w:b/>
      <w:bCs w:val="0"/>
      <w:color w:val="44546A" w:themeColor="text2"/>
      <w:sz w:val="28"/>
      <w:szCs w:val="24"/>
      <w:lang w:eastAsia="ja-JP"/>
    </w:rPr>
  </w:style>
  <w:style w:type="character" w:customStyle="1" w:styleId="Heading2Char">
    <w:name w:val="Heading 2 Char"/>
    <w:basedOn w:val="DefaultParagraphFont"/>
    <w:link w:val="Heading2"/>
    <w:rsid w:val="005D4D01"/>
    <w:rPr>
      <w:rFonts w:ascii="Arial" w:eastAsia="Arial" w:hAnsi="Arial" w:cstheme="majorBidi"/>
      <w:bCs/>
      <w:color w:val="2F5496" w:themeColor="accent1" w:themeShade="BF"/>
      <w:sz w:val="36"/>
      <w:szCs w:val="24"/>
      <w:lang w:eastAsia="ja-JP"/>
    </w:rPr>
  </w:style>
  <w:style w:type="character" w:customStyle="1" w:styleId="Heading4Char">
    <w:name w:val="Heading 4 Char"/>
    <w:basedOn w:val="DefaultParagraphFont"/>
    <w:link w:val="Heading4"/>
    <w:rsid w:val="008D5553"/>
    <w:rPr>
      <w:rFonts w:asciiTheme="majorHAnsi" w:eastAsiaTheme="majorEastAsia" w:hAnsiTheme="majorHAnsi" w:cstheme="majorBidi"/>
      <w:i/>
      <w:iCs/>
      <w:color w:val="2F5496" w:themeColor="accent1" w:themeShade="BF"/>
      <w:sz w:val="24"/>
      <w:szCs w:val="24"/>
      <w:lang w:eastAsia="ja-JP"/>
    </w:rPr>
  </w:style>
  <w:style w:type="paragraph" w:customStyle="1" w:styleId="Description">
    <w:name w:val="Description"/>
    <w:basedOn w:val="Normal"/>
    <w:link w:val="DescriptionChar"/>
    <w:qFormat/>
    <w:rsid w:val="005B1515"/>
    <w:pPr>
      <w:spacing w:before="120" w:after="120"/>
    </w:pPr>
    <w:rPr>
      <w:rFonts w:ascii="Arial" w:eastAsia="Arial" w:hAnsi="Arial"/>
      <w:i/>
      <w:color w:val="7F7F7F" w:themeColor="text1" w:themeTint="80"/>
      <w:sz w:val="18"/>
    </w:rPr>
  </w:style>
  <w:style w:type="character" w:customStyle="1" w:styleId="DescriptionChar">
    <w:name w:val="Description Char"/>
    <w:basedOn w:val="DefaultParagraphFont"/>
    <w:link w:val="Description"/>
    <w:rsid w:val="005B1515"/>
    <w:rPr>
      <w:rFonts w:ascii="Arial" w:eastAsia="Arial" w:hAnsi="Arial"/>
      <w:i/>
      <w:color w:val="7F7F7F" w:themeColor="text1" w:themeTint="80"/>
      <w:sz w:val="18"/>
      <w:szCs w:val="24"/>
      <w:lang w:eastAsia="ja-JP"/>
    </w:rPr>
  </w:style>
  <w:style w:type="paragraph" w:customStyle="1" w:styleId="Link">
    <w:name w:val="Link"/>
    <w:basedOn w:val="Normal"/>
    <w:next w:val="BodyText"/>
    <w:link w:val="LinkChar"/>
    <w:qFormat/>
    <w:rsid w:val="00693ACA"/>
    <w:rPr>
      <w:rFonts w:ascii="Arial" w:eastAsia="Arial" w:hAnsi="Arial"/>
      <w:i/>
      <w:color w:val="4472C4" w:themeColor="accent1"/>
      <w:sz w:val="20"/>
      <w:u w:val="words"/>
    </w:rPr>
  </w:style>
  <w:style w:type="character" w:customStyle="1" w:styleId="LinkChar">
    <w:name w:val="Link Char"/>
    <w:basedOn w:val="DefaultParagraphFont"/>
    <w:link w:val="Link"/>
    <w:rsid w:val="00693ACA"/>
    <w:rPr>
      <w:rFonts w:ascii="Arial" w:eastAsia="Arial" w:hAnsi="Arial"/>
      <w:i/>
      <w:color w:val="4472C4" w:themeColor="accent1"/>
      <w:szCs w:val="24"/>
      <w:u w:val="words"/>
      <w:lang w:eastAsia="ja-JP"/>
    </w:rPr>
  </w:style>
  <w:style w:type="character" w:styleId="FollowedHyperlink">
    <w:name w:val="FollowedHyperlink"/>
    <w:basedOn w:val="DefaultParagraphFont"/>
    <w:rsid w:val="005B1515"/>
    <w:rPr>
      <w:color w:val="954F72" w:themeColor="followedHyperlink"/>
      <w:u w:val="single"/>
    </w:rPr>
  </w:style>
  <w:style w:type="character" w:customStyle="1" w:styleId="Heading3Char">
    <w:name w:val="Heading 3 Char"/>
    <w:basedOn w:val="DefaultParagraphFont"/>
    <w:link w:val="Heading3"/>
    <w:rsid w:val="005D4D01"/>
    <w:rPr>
      <w:i/>
      <w:iCs/>
      <w:color w:val="0070C0"/>
      <w:sz w:val="24"/>
      <w:szCs w:val="24"/>
      <w:lang w:eastAsia="ja-JP"/>
    </w:rPr>
  </w:style>
  <w:style w:type="paragraph" w:styleId="TOCHeading">
    <w:name w:val="TOC Heading"/>
    <w:basedOn w:val="Heading1"/>
    <w:next w:val="Normal"/>
    <w:uiPriority w:val="39"/>
    <w:unhideWhenUsed/>
    <w:qFormat/>
    <w:rsid w:val="000B2393"/>
    <w:pPr>
      <w:autoSpaceDE/>
      <w:autoSpaceDN/>
      <w:adjustRightInd/>
      <w:spacing w:before="480" w:line="276" w:lineRule="auto"/>
      <w:ind w:right="0"/>
      <w:jc w:val="left"/>
      <w:outlineLvl w:val="9"/>
    </w:pPr>
    <w:rPr>
      <w:rFonts w:asciiTheme="majorHAnsi" w:eastAsiaTheme="majorEastAsia" w:hAnsiTheme="majorHAnsi" w:cstheme="majorBidi"/>
      <w:b/>
      <w:bCs/>
      <w:caps w:val="0"/>
      <w:color w:val="2F5496" w:themeColor="accent1" w:themeShade="BF"/>
      <w:sz w:val="28"/>
      <w:szCs w:val="28"/>
      <w:lang w:eastAsia="en-US"/>
    </w:rPr>
  </w:style>
  <w:style w:type="paragraph" w:styleId="TOC1">
    <w:name w:val="toc 1"/>
    <w:basedOn w:val="Normal"/>
    <w:next w:val="Normal"/>
    <w:autoRedefine/>
    <w:uiPriority w:val="39"/>
    <w:rsid w:val="000B2393"/>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rsid w:val="000B2393"/>
    <w:rPr>
      <w:rFonts w:asciiTheme="minorHAnsi" w:hAnsiTheme="minorHAnsi" w:cstheme="minorHAnsi"/>
      <w:b/>
      <w:bCs/>
      <w:smallCaps/>
      <w:sz w:val="22"/>
      <w:szCs w:val="22"/>
    </w:rPr>
  </w:style>
  <w:style w:type="paragraph" w:styleId="TOC3">
    <w:name w:val="toc 3"/>
    <w:basedOn w:val="Normal"/>
    <w:next w:val="Normal"/>
    <w:autoRedefine/>
    <w:rsid w:val="000B2393"/>
    <w:rPr>
      <w:rFonts w:asciiTheme="minorHAnsi" w:hAnsiTheme="minorHAnsi" w:cstheme="minorHAnsi"/>
      <w:smallCaps/>
      <w:sz w:val="22"/>
      <w:szCs w:val="22"/>
    </w:rPr>
  </w:style>
  <w:style w:type="paragraph" w:styleId="TOC4">
    <w:name w:val="toc 4"/>
    <w:basedOn w:val="Normal"/>
    <w:next w:val="Normal"/>
    <w:autoRedefine/>
    <w:uiPriority w:val="39"/>
    <w:rsid w:val="000B2393"/>
    <w:rPr>
      <w:rFonts w:asciiTheme="minorHAnsi" w:hAnsiTheme="minorHAnsi" w:cstheme="minorHAnsi"/>
      <w:sz w:val="22"/>
      <w:szCs w:val="22"/>
    </w:rPr>
  </w:style>
  <w:style w:type="paragraph" w:styleId="TOC5">
    <w:name w:val="toc 5"/>
    <w:basedOn w:val="Normal"/>
    <w:next w:val="Normal"/>
    <w:autoRedefine/>
    <w:rsid w:val="000B2393"/>
    <w:rPr>
      <w:rFonts w:asciiTheme="minorHAnsi" w:hAnsiTheme="minorHAnsi" w:cstheme="minorHAnsi"/>
      <w:sz w:val="22"/>
      <w:szCs w:val="22"/>
    </w:rPr>
  </w:style>
  <w:style w:type="paragraph" w:styleId="TOC6">
    <w:name w:val="toc 6"/>
    <w:basedOn w:val="Normal"/>
    <w:next w:val="Normal"/>
    <w:autoRedefine/>
    <w:rsid w:val="000B2393"/>
    <w:rPr>
      <w:rFonts w:asciiTheme="minorHAnsi" w:hAnsiTheme="minorHAnsi" w:cstheme="minorHAnsi"/>
      <w:sz w:val="22"/>
      <w:szCs w:val="22"/>
    </w:rPr>
  </w:style>
  <w:style w:type="paragraph" w:styleId="TOC7">
    <w:name w:val="toc 7"/>
    <w:basedOn w:val="Normal"/>
    <w:next w:val="Normal"/>
    <w:autoRedefine/>
    <w:rsid w:val="000B2393"/>
    <w:rPr>
      <w:rFonts w:asciiTheme="minorHAnsi" w:hAnsiTheme="minorHAnsi" w:cstheme="minorHAnsi"/>
      <w:sz w:val="22"/>
      <w:szCs w:val="22"/>
    </w:rPr>
  </w:style>
  <w:style w:type="paragraph" w:styleId="TOC8">
    <w:name w:val="toc 8"/>
    <w:basedOn w:val="Normal"/>
    <w:next w:val="Normal"/>
    <w:autoRedefine/>
    <w:rsid w:val="000B2393"/>
    <w:rPr>
      <w:rFonts w:asciiTheme="minorHAnsi" w:hAnsiTheme="minorHAnsi" w:cstheme="minorHAnsi"/>
      <w:sz w:val="22"/>
      <w:szCs w:val="22"/>
    </w:rPr>
  </w:style>
  <w:style w:type="paragraph" w:styleId="TOC9">
    <w:name w:val="toc 9"/>
    <w:basedOn w:val="Normal"/>
    <w:next w:val="Normal"/>
    <w:autoRedefine/>
    <w:rsid w:val="000B2393"/>
    <w:rPr>
      <w:rFonts w:asciiTheme="minorHAnsi" w:hAnsiTheme="minorHAnsi" w:cstheme="minorHAnsi"/>
      <w:sz w:val="22"/>
      <w:szCs w:val="22"/>
    </w:rPr>
  </w:style>
  <w:style w:type="table" w:styleId="TableGrid">
    <w:name w:val="Table Grid"/>
    <w:basedOn w:val="TableNormal"/>
    <w:uiPriority w:val="39"/>
    <w:rsid w:val="00ED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00807"/>
    <w:rPr>
      <w:sz w:val="18"/>
      <w:szCs w:val="18"/>
    </w:rPr>
  </w:style>
  <w:style w:type="character" w:customStyle="1" w:styleId="BalloonTextChar">
    <w:name w:val="Balloon Text Char"/>
    <w:basedOn w:val="DefaultParagraphFont"/>
    <w:link w:val="BalloonText"/>
    <w:semiHidden/>
    <w:rsid w:val="00100807"/>
    <w:rPr>
      <w:sz w:val="18"/>
      <w:szCs w:val="18"/>
      <w:lang w:eastAsia="ja-JP"/>
    </w:rPr>
  </w:style>
  <w:style w:type="character" w:styleId="Strong">
    <w:name w:val="Strong"/>
    <w:basedOn w:val="DefaultParagraphFont"/>
    <w:qFormat/>
    <w:rsid w:val="00697C56"/>
    <w:rPr>
      <w:b/>
      <w:bCs/>
    </w:rPr>
  </w:style>
  <w:style w:type="paragraph" w:styleId="Revision">
    <w:name w:val="Revision"/>
    <w:hidden/>
    <w:uiPriority w:val="71"/>
    <w:rsid w:val="006D4540"/>
    <w:rPr>
      <w:sz w:val="24"/>
      <w:szCs w:val="24"/>
      <w:lang w:eastAsia="ja-JP"/>
    </w:rPr>
  </w:style>
  <w:style w:type="character" w:styleId="CommentReference">
    <w:name w:val="annotation reference"/>
    <w:basedOn w:val="DefaultParagraphFont"/>
    <w:uiPriority w:val="99"/>
    <w:rsid w:val="004527B6"/>
    <w:rPr>
      <w:sz w:val="16"/>
      <w:szCs w:val="16"/>
    </w:rPr>
  </w:style>
  <w:style w:type="paragraph" w:styleId="CommentText">
    <w:name w:val="annotation text"/>
    <w:basedOn w:val="Normal"/>
    <w:link w:val="CommentTextChar"/>
    <w:uiPriority w:val="99"/>
    <w:rsid w:val="004527B6"/>
    <w:rPr>
      <w:sz w:val="20"/>
      <w:szCs w:val="20"/>
    </w:rPr>
  </w:style>
  <w:style w:type="character" w:customStyle="1" w:styleId="CommentTextChar">
    <w:name w:val="Comment Text Char"/>
    <w:basedOn w:val="DefaultParagraphFont"/>
    <w:link w:val="CommentText"/>
    <w:uiPriority w:val="99"/>
    <w:rsid w:val="004527B6"/>
    <w:rPr>
      <w:lang w:eastAsia="ja-JP"/>
    </w:rPr>
  </w:style>
  <w:style w:type="paragraph" w:styleId="CommentSubject">
    <w:name w:val="annotation subject"/>
    <w:basedOn w:val="CommentText"/>
    <w:next w:val="CommentText"/>
    <w:link w:val="CommentSubjectChar"/>
    <w:rsid w:val="004527B6"/>
    <w:rPr>
      <w:b/>
      <w:bCs/>
    </w:rPr>
  </w:style>
  <w:style w:type="character" w:customStyle="1" w:styleId="CommentSubjectChar">
    <w:name w:val="Comment Subject Char"/>
    <w:basedOn w:val="CommentTextChar"/>
    <w:link w:val="CommentSubject"/>
    <w:rsid w:val="004527B6"/>
    <w:rPr>
      <w:b/>
      <w:bCs/>
      <w:lang w:eastAsia="ja-JP"/>
    </w:rPr>
  </w:style>
  <w:style w:type="paragraph" w:styleId="NoSpacing">
    <w:name w:val="No Spacing"/>
    <w:uiPriority w:val="1"/>
    <w:qFormat/>
    <w:rsid w:val="008F73CD"/>
    <w:rPr>
      <w:rFonts w:ascii="Calibri" w:eastAsia="Calibri" w:hAnsi="Calibri"/>
      <w:sz w:val="22"/>
      <w:szCs w:val="22"/>
      <w:lang w:val="en-CA"/>
    </w:rPr>
  </w:style>
  <w:style w:type="paragraph" w:styleId="ListParagraph">
    <w:name w:val="List Paragraph"/>
    <w:basedOn w:val="Normal"/>
    <w:uiPriority w:val="72"/>
    <w:qFormat/>
    <w:rsid w:val="0082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3999">
      <w:bodyDiv w:val="1"/>
      <w:marLeft w:val="0"/>
      <w:marRight w:val="0"/>
      <w:marTop w:val="0"/>
      <w:marBottom w:val="0"/>
      <w:divBdr>
        <w:top w:val="none" w:sz="0" w:space="0" w:color="auto"/>
        <w:left w:val="none" w:sz="0" w:space="0" w:color="auto"/>
        <w:bottom w:val="none" w:sz="0" w:space="0" w:color="auto"/>
        <w:right w:val="none" w:sz="0" w:space="0" w:color="auto"/>
      </w:divBdr>
    </w:div>
    <w:div w:id="605962665">
      <w:bodyDiv w:val="1"/>
      <w:marLeft w:val="0"/>
      <w:marRight w:val="0"/>
      <w:marTop w:val="0"/>
      <w:marBottom w:val="0"/>
      <w:divBdr>
        <w:top w:val="none" w:sz="0" w:space="0" w:color="auto"/>
        <w:left w:val="none" w:sz="0" w:space="0" w:color="auto"/>
        <w:bottom w:val="none" w:sz="0" w:space="0" w:color="auto"/>
        <w:right w:val="none" w:sz="0" w:space="0" w:color="auto"/>
      </w:divBdr>
    </w:div>
    <w:div w:id="806122225">
      <w:bodyDiv w:val="1"/>
      <w:marLeft w:val="0"/>
      <w:marRight w:val="0"/>
      <w:marTop w:val="0"/>
      <w:marBottom w:val="0"/>
      <w:divBdr>
        <w:top w:val="none" w:sz="0" w:space="0" w:color="auto"/>
        <w:left w:val="none" w:sz="0" w:space="0" w:color="auto"/>
        <w:bottom w:val="none" w:sz="0" w:space="0" w:color="auto"/>
        <w:right w:val="none" w:sz="0" w:space="0" w:color="auto"/>
      </w:divBdr>
    </w:div>
    <w:div w:id="1852143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5A0D9-E346-8547-BC37-355B8725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4469</Words>
  <Characters>24361</Characters>
  <Application>Microsoft Office Word</Application>
  <DocSecurity>0</DocSecurity>
  <Lines>658</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Dommisse</dc:creator>
  <cp:keywords/>
  <cp:lastModifiedBy>Dommisse Attorneys</cp:lastModifiedBy>
  <cp:revision>4</cp:revision>
  <cp:lastPrinted>2022-06-10T15:45:00Z</cp:lastPrinted>
  <dcterms:created xsi:type="dcterms:W3CDTF">2025-11-17T17:07:00Z</dcterms:created>
  <dcterms:modified xsi:type="dcterms:W3CDTF">2025-11-17T17:08:00Z</dcterms:modified>
</cp:coreProperties>
</file>